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A7EE9">
      <w:pPr>
        <w:spacing w:after="0" w:line="700" w:lineRule="exact"/>
        <w:jc w:val="center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关于举办武进区教育智能体创新应用</w:t>
      </w:r>
      <w:r>
        <w:rPr>
          <w:rFonts w:hint="eastAsia" w:ascii="方正小标宋简体" w:hAnsi="方正小标宋简体" w:eastAsia="方正小标宋简体" w:cs="方正小标宋简体"/>
          <w:sz w:val="44"/>
          <w:lang w:eastAsia="zh-CN"/>
        </w:rPr>
        <w:t>活动</w:t>
      </w:r>
      <w:r>
        <w:rPr>
          <w:rFonts w:hint="eastAsia" w:ascii="方正小标宋简体" w:hAnsi="方正小标宋简体" w:eastAsia="方正小标宋简体" w:cs="方正小标宋简体"/>
          <w:sz w:val="44"/>
        </w:rPr>
        <w:t>的</w:t>
      </w:r>
    </w:p>
    <w:p w14:paraId="5FE2966E">
      <w:pPr>
        <w:spacing w:after="0" w:line="700" w:lineRule="exact"/>
        <w:jc w:val="center"/>
        <w:rPr>
          <w:rFonts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通知</w:t>
      </w:r>
    </w:p>
    <w:p w14:paraId="4F4D3380">
      <w:pPr>
        <w:spacing w:after="0" w:line="560" w:lineRule="exact"/>
        <w:jc w:val="both"/>
        <w:rPr>
          <w:rFonts w:ascii="仿宋_GB2312" w:hAnsi="仿宋_GB2312" w:eastAsia="仿宋_GB2312"/>
          <w:sz w:val="32"/>
        </w:rPr>
      </w:pPr>
    </w:p>
    <w:p w14:paraId="16C89812">
      <w:pPr>
        <w:spacing w:after="0" w:line="560" w:lineRule="exact"/>
        <w:jc w:val="both"/>
      </w:pPr>
      <w:r>
        <w:rPr>
          <w:rFonts w:hint="eastAsia" w:ascii="仿宋_GB2312" w:hAnsi="仿宋_GB2312" w:eastAsia="仿宋_GB2312"/>
          <w:sz w:val="32"/>
        </w:rPr>
        <w:t>各中小学、幼儿园及有关学校：</w:t>
      </w:r>
    </w:p>
    <w:p w14:paraId="0E6A5151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为深入贯彻《教育强国建设规划纲要（2024—2035年）》和教育部等五部门《“人工智能+教育”行动计划》（教科信〔2026〕1号）部署要求，全面落实江苏省《人工智能赋能教育高质量发展行动方案（2025—2027年）》，深化人工智能与教育教学融合应用，以赛促建、以赛促用，培育一批学校、教师自主建设、务实管用的教育智能体，赋能教师教学、学生学习、教育评价、教研创新、学校管理和全面育人，经研究，决定举办武进区教育智能体创新应用</w:t>
      </w:r>
      <w:r>
        <w:rPr>
          <w:rFonts w:hint="eastAsia" w:ascii="仿宋_GB2312" w:hAnsi="仿宋_GB2312" w:eastAsia="仿宋_GB2312"/>
          <w:sz w:val="32"/>
          <w:lang w:eastAsia="zh-CN"/>
        </w:rPr>
        <w:t>活动</w:t>
      </w:r>
      <w:r>
        <w:rPr>
          <w:rFonts w:hint="eastAsia" w:ascii="仿宋_GB2312" w:hAnsi="仿宋_GB2312" w:eastAsia="仿宋_GB2312"/>
          <w:sz w:val="32"/>
        </w:rPr>
        <w:t>。现将有关事项通知如下：</w:t>
      </w:r>
    </w:p>
    <w:p w14:paraId="03FD8DC3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一、比赛主题</w:t>
      </w:r>
    </w:p>
    <w:p w14:paraId="482BBE59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数智赋能·智教融合——智能体助力教育提质增效。比赛坚持“应用导向、育人为本、安全合规”原则，鼓励学校和教师立足教育教学真实问题，自主设计、开发、应用教育智能体，推动人工智能技术从“工具应用”走向“场景重构”，形成一批可复制、可推广的智能教育应用成果。</w:t>
      </w:r>
    </w:p>
    <w:p w14:paraId="24702651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二、参赛对象与组别</w:t>
      </w:r>
    </w:p>
    <w:p w14:paraId="2F51014F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（一）参赛对象。全区中小学、幼儿园</w:t>
      </w:r>
      <w:r>
        <w:rPr>
          <w:rFonts w:hint="eastAsia" w:ascii="仿宋_GB2312" w:hAnsi="仿宋_GB2312" w:eastAsia="仿宋_GB2312"/>
          <w:sz w:val="32"/>
          <w:lang w:eastAsia="zh-CN"/>
        </w:rPr>
        <w:t>、职业学校</w:t>
      </w:r>
      <w:r>
        <w:rPr>
          <w:rFonts w:hint="eastAsia" w:ascii="仿宋_GB2312" w:hAnsi="仿宋_GB2312" w:eastAsia="仿宋_GB2312"/>
          <w:sz w:val="32"/>
        </w:rPr>
        <w:t>教师及教师团队，可个人或团队参赛（团队人数不超过5人</w:t>
      </w:r>
      <w:r>
        <w:rPr>
          <w:rFonts w:hint="eastAsia" w:ascii="仿宋_GB2312" w:hAnsi="仿宋_GB2312" w:eastAsia="仿宋_GB2312"/>
          <w:sz w:val="32"/>
          <w:lang w:eastAsia="zh-CN"/>
        </w:rPr>
        <w:t>，含第一作者</w:t>
      </w:r>
      <w:r>
        <w:rPr>
          <w:rFonts w:hint="eastAsia" w:ascii="仿宋_GB2312" w:hAnsi="仿宋_GB2312" w:eastAsia="仿宋_GB2312"/>
          <w:sz w:val="32"/>
        </w:rPr>
        <w:t>）。参赛智能体须为学校或教师自主设计、开发、建设，用于解决教育教学中的实际问题，不得使用第三方成品智能体直接参赛。</w:t>
      </w:r>
    </w:p>
    <w:p w14:paraId="2D28B79F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（二）组别设置。分设幼儿园组、小学组、初中组、高中组</w:t>
      </w:r>
      <w:r>
        <w:rPr>
          <w:rFonts w:hint="eastAsia" w:ascii="仿宋_GB2312" w:hAnsi="仿宋_GB2312" w:eastAsia="仿宋_GB2312"/>
          <w:sz w:val="32"/>
          <w:lang w:eastAsia="zh-CN"/>
        </w:rPr>
        <w:t>和职业学校组五</w:t>
      </w:r>
      <w:r>
        <w:rPr>
          <w:rFonts w:hint="eastAsia" w:ascii="仿宋_GB2312" w:hAnsi="仿宋_GB2312" w:eastAsia="仿宋_GB2312"/>
          <w:sz w:val="32"/>
        </w:rPr>
        <w:t>个组别，按组别分别评审。</w:t>
      </w:r>
    </w:p>
    <w:p w14:paraId="7CA9ECE4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三、作品方向</w:t>
      </w:r>
    </w:p>
    <w:p w14:paraId="33872562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参赛作品应立足教育教学真实场景，围绕“助教、助学、助评、助研、助管、助育”六大领域设计开发：</w:t>
      </w:r>
    </w:p>
    <w:p w14:paraId="469D381F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（一）助教领域。聚焦教师教学提质减负，如智能备课、学情分析、教学设计、课件与资源生成、课堂互动助手、作业智能批改与答疑等；</w:t>
      </w:r>
    </w:p>
    <w:p w14:paraId="2781D340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（二）助学领域。聚焦学生学习成长，如个性化学习辅导、智能答疑、思维引导、技能训练、项目式学习支持、兴趣激发等；</w:t>
      </w:r>
    </w:p>
    <w:p w14:paraId="74000E06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（三）助评领域。聚焦教育评价变革，如作业与作品多维评价、个性化诊断反馈、过程性评价、学情数据分析、成长档</w:t>
      </w:r>
      <w:bookmarkStart w:id="0" w:name="_GoBack"/>
      <w:r>
        <w:rPr>
          <w:rFonts w:hint="eastAsia" w:ascii="仿宋_GB2312" w:hAnsi="仿宋_GB2312" w:eastAsia="仿宋_GB2312"/>
          <w:sz w:val="32"/>
        </w:rPr>
        <w:t>案等；</w:t>
      </w:r>
    </w:p>
    <w:bookmarkEnd w:id="0"/>
    <w:p w14:paraId="6570856A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（四）助研领域。聚焦教学研究增效，如课题研究辅助、课堂观察分析、教研资料整理、论文写作辅助、数据分析解读等；</w:t>
      </w:r>
    </w:p>
    <w:p w14:paraId="29F089C7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（五）助管领域。聚焦学校治理优化，如教务管理、班级管理、家校沟通、安全管理、办公事务自动化处理等；</w:t>
      </w:r>
    </w:p>
    <w:p w14:paraId="49A001B3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（六）助育领域。聚焦全面育人，如德育引导、心理健康支持、体育美育、劳动教育、生涯规划等。</w:t>
      </w:r>
    </w:p>
    <w:p w14:paraId="5084C4B4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四、技术要求</w:t>
      </w:r>
    </w:p>
    <w:p w14:paraId="52983869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参赛智能体须符合以下技术要求：</w:t>
      </w:r>
    </w:p>
    <w:p w14:paraId="1DE10867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（一）自主开发建设。须由学校或教师自主设计开发，可依托字节扣子（Coze）、百度文心、阿里云百炼、讯飞星枢、智谱清言、腾讯元器等国内主流智能体开发平台或学校自建系统搭建，需提交开发过程说明。</w:t>
      </w:r>
    </w:p>
    <w:p w14:paraId="78A1F7CB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（二）功能结构完备。应具备清晰的系统提示词（Prompt）设计、专属知识库搭建、任务逻辑编排（工作流）、插件调用等核心能力，鼓励运用多智能体协同，实现端到端任务处理。</w:t>
      </w:r>
    </w:p>
    <w:p w14:paraId="463B74DE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（三）体现专家思维。应嵌入成熟的教学模型、认知理论或思维流程（如布鲁姆教学目标分类、5E教学法、SOLO分类理论等），将教师专业经验转化为智能体决策逻辑，体现学科特色与教育智慧。</w:t>
      </w:r>
    </w:p>
    <w:p w14:paraId="08CAA9AC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（四）交互友好易用。界面简洁、操作简便、响应及时、反馈准确，适配教育教学场景和师生使用习惯，具有良好用户体验。</w:t>
      </w:r>
    </w:p>
    <w:p w14:paraId="7FFAFC5C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（五）安全合规可靠。严格遵守数据安全和个人信息保护法律法规，注重学生数据与隐私保护；</w:t>
      </w:r>
      <w:r>
        <w:rPr>
          <w:rFonts w:ascii="仿宋_GB2312" w:hAnsi="仿宋_GB2312" w:eastAsia="仿宋_GB2312"/>
          <w:sz w:val="32"/>
        </w:rPr>
        <w:t>参赛、演示及评审环境不得使用未经匿名化处理的真实学生、教师个人信息，需展示应用效果的，应使用脱敏数据或模拟数据；生成内容积极健康、符合教育规律，杜绝不当信息与学术不端；开发过程全程注意数据安全。</w:t>
      </w:r>
    </w:p>
    <w:p w14:paraId="2138C9A8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五、报送材料</w:t>
      </w:r>
    </w:p>
    <w:p w14:paraId="5706E841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各校以学校为单位统一报送参赛材料，每校限报</w:t>
      </w:r>
      <w:r>
        <w:rPr>
          <w:rFonts w:ascii="仿宋_GB2312" w:hAnsi="仿宋_GB2312" w:eastAsia="仿宋_GB2312"/>
          <w:sz w:val="32"/>
        </w:rPr>
        <w:t xml:space="preserve">5 </w:t>
      </w:r>
      <w:r>
        <w:rPr>
          <w:rFonts w:hint="eastAsia" w:ascii="仿宋_GB2312" w:hAnsi="仿宋_GB2312" w:eastAsia="仿宋_GB2312"/>
          <w:sz w:val="32"/>
        </w:rPr>
        <w:t>件参赛作品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  <w:r>
        <w:rPr>
          <w:rFonts w:hint="eastAsia" w:ascii="仿宋_GB2312" w:hAnsi="仿宋_GB2312" w:eastAsia="仿宋_GB2312"/>
          <w:sz w:val="32"/>
        </w:rPr>
        <w:t>每件作品报送以下材料：</w:t>
      </w:r>
    </w:p>
    <w:p w14:paraId="7F2BD411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（一）《武进区教育智能体创新应用</w:t>
      </w:r>
      <w:r>
        <w:rPr>
          <w:rFonts w:hint="eastAsia" w:ascii="仿宋_GB2312" w:hAnsi="仿宋_GB2312" w:eastAsia="仿宋_GB2312"/>
          <w:sz w:val="32"/>
          <w:lang w:eastAsia="zh-CN"/>
        </w:rPr>
        <w:t>活动</w:t>
      </w:r>
      <w:r>
        <w:rPr>
          <w:rFonts w:hint="eastAsia" w:ascii="仿宋_GB2312" w:hAnsi="仿宋_GB2312" w:eastAsia="仿宋_GB2312"/>
          <w:sz w:val="32"/>
        </w:rPr>
        <w:t>作品申报表》（见附件1）；</w:t>
      </w:r>
    </w:p>
    <w:p w14:paraId="090DB90F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（二）智能体演示视频。时长不超过5分钟，MP4格式，画面与声音清晰，完整展示智能体核心功能与真实应用场景；</w:t>
      </w:r>
    </w:p>
    <w:p w14:paraId="1B339D57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（三）设计说明与使用说明。阐述作品设计思路、解决的教育教学问题、技术路径、创新点及使用方法、适用场景，合计不超过1500字；</w:t>
      </w:r>
    </w:p>
    <w:p w14:paraId="2CB42132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  <w:lang w:eastAsia="zh-CN"/>
        </w:rPr>
        <w:t>各校作品整理后，统一填写</w:t>
      </w:r>
      <w:r>
        <w:rPr>
          <w:rFonts w:hint="eastAsia" w:ascii="仿宋_GB2312" w:hAnsi="仿宋_GB2312" w:eastAsia="仿宋_GB2312"/>
          <w:sz w:val="32"/>
        </w:rPr>
        <w:t>学校作品报送汇总表</w:t>
      </w:r>
      <w:r>
        <w:rPr>
          <w:rFonts w:hint="eastAsia" w:ascii="仿宋_GB2312" w:hAnsi="仿宋_GB2312" w:eastAsia="仿宋_GB2312"/>
          <w:sz w:val="32"/>
          <w:lang w:eastAsia="zh-CN"/>
        </w:rPr>
        <w:t>（见附件2）。汇总表中</w:t>
      </w:r>
      <w:r>
        <w:rPr>
          <w:rFonts w:hint="eastAsia" w:ascii="仿宋_GB2312" w:hAnsi="仿宋_GB2312" w:eastAsia="仿宋_GB2312"/>
          <w:sz w:val="32"/>
        </w:rPr>
        <w:t>智能体</w:t>
      </w:r>
      <w:r>
        <w:rPr>
          <w:rFonts w:hint="eastAsia" w:ascii="仿宋_GB2312" w:hAnsi="仿宋_GB2312" w:eastAsia="仿宋_GB2312"/>
          <w:sz w:val="32"/>
          <w:lang w:eastAsia="zh-CN"/>
        </w:rPr>
        <w:t>访问</w:t>
      </w:r>
      <w:r>
        <w:rPr>
          <w:rFonts w:hint="eastAsia" w:ascii="仿宋_GB2312" w:hAnsi="仿宋_GB2312" w:eastAsia="仿宋_GB2312"/>
          <w:sz w:val="32"/>
        </w:rPr>
        <w:t>链接或二维码</w:t>
      </w:r>
      <w:r>
        <w:rPr>
          <w:rFonts w:hint="eastAsia" w:ascii="仿宋_GB2312" w:hAnsi="仿宋_GB2312" w:eastAsia="仿宋_GB2312"/>
          <w:sz w:val="32"/>
          <w:lang w:eastAsia="zh-CN"/>
        </w:rPr>
        <w:t>必须填写准确</w:t>
      </w:r>
      <w:r>
        <w:rPr>
          <w:rFonts w:hint="eastAsia" w:ascii="仿宋_GB2312" w:hAnsi="仿宋_GB2312" w:eastAsia="仿宋_GB2312"/>
          <w:sz w:val="32"/>
        </w:rPr>
        <w:t>（评审期间须保持可访问）。</w:t>
      </w:r>
      <w:r>
        <w:rPr>
          <w:rFonts w:ascii="仿宋_GB2312" w:hAnsi="仿宋_GB2312" w:eastAsia="仿宋_GB2312"/>
          <w:sz w:val="32"/>
        </w:rPr>
        <w:t>需消耗模型调用额度（Token）的，参赛团队应预留必要额度并承担相关费用，不得要求评委充值或使用个人付费账号；需登录的，应提供评审专用账号或临时访问方式。评审时无法正常访问的，视为未满足评审条件。</w:t>
      </w:r>
    </w:p>
    <w:p w14:paraId="2399B732">
      <w:pPr>
        <w:wordWrap w:val="0"/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</w:rPr>
        <w:t>各校</w:t>
      </w:r>
      <w:r>
        <w:rPr>
          <w:rFonts w:hint="eastAsia" w:ascii="仿宋_GB2312" w:hAnsi="仿宋_GB2312" w:eastAsia="仿宋_GB2312"/>
          <w:sz w:val="32"/>
          <w:lang w:eastAsia="zh-CN"/>
        </w:rPr>
        <w:t>将所有作品材料整理后，以学校名命名进行打包压缩</w:t>
      </w:r>
      <w:r>
        <w:rPr>
          <w:rFonts w:hint="eastAsia" w:ascii="仿宋_GB2312" w:hAnsi="仿宋_GB2312" w:eastAsia="仿宋_GB2312"/>
          <w:sz w:val="32"/>
        </w:rPr>
        <w:t>（</w:t>
      </w:r>
      <w:r>
        <w:rPr>
          <w:rFonts w:hint="eastAsia" w:ascii="仿宋_GB2312" w:hAnsi="仿宋_GB2312" w:eastAsia="仿宋_GB2312"/>
          <w:sz w:val="32"/>
          <w:lang w:eastAsia="zh-CN"/>
        </w:rPr>
        <w:t>其中</w:t>
      </w:r>
      <w:r>
        <w:rPr>
          <w:rFonts w:hint="eastAsia" w:ascii="仿宋_GB2312" w:hAnsi="仿宋_GB2312" w:eastAsia="仿宋_GB2312"/>
          <w:sz w:val="32"/>
        </w:rPr>
        <w:t>申报表</w:t>
      </w:r>
      <w:r>
        <w:rPr>
          <w:rFonts w:hint="eastAsia" w:ascii="仿宋_GB2312" w:hAnsi="仿宋_GB2312" w:eastAsia="仿宋_GB2312"/>
          <w:sz w:val="32"/>
          <w:lang w:eastAsia="zh-CN"/>
        </w:rPr>
        <w:t>和汇总表需加盖学校印章扫描成PDF格式</w:t>
      </w:r>
      <w:r>
        <w:rPr>
          <w:rFonts w:hint="eastAsia" w:ascii="仿宋_GB2312" w:hAnsi="仿宋_GB2312" w:eastAsia="仿宋_GB2312"/>
          <w:sz w:val="32"/>
        </w:rPr>
        <w:t>）</w:t>
      </w:r>
      <w:r>
        <w:rPr>
          <w:rFonts w:hint="eastAsia" w:ascii="仿宋_GB2312" w:hAnsi="仿宋_GB2312" w:eastAsia="仿宋_GB2312"/>
          <w:sz w:val="32"/>
          <w:lang w:eastAsia="zh-CN"/>
        </w:rPr>
        <w:t>，然后将压缩文件</w:t>
      </w:r>
      <w:r>
        <w:rPr>
          <w:rFonts w:hint="eastAsia" w:ascii="仿宋_GB2312" w:hAnsi="仿宋_GB2312" w:eastAsia="仿宋_GB2312"/>
          <w:sz w:val="32"/>
        </w:rPr>
        <w:t>于2026年9月28日前报送至区学校和教师发展中心</w:t>
      </w:r>
      <w:r>
        <w:rPr>
          <w:rFonts w:hint="eastAsia" w:ascii="仿宋_GB2312" w:hAnsi="仿宋_GB2312" w:eastAsia="仿宋_GB2312"/>
          <w:sz w:val="32"/>
          <w:lang w:eastAsia="zh-CN"/>
        </w:rPr>
        <w:t>，报送地址：</w:t>
      </w:r>
      <w:r>
        <w:rPr>
          <w:rFonts w:ascii="仿宋_GB2312" w:hAnsi="仿宋_GB2312" w:eastAsia="仿宋_GB2312"/>
          <w:sz w:val="32"/>
          <w:lang w:eastAsia="zh-CN"/>
        </w:rPr>
        <w:t>https://disk.simiyun.cn/frontend/#/link/EF7HPCyu3kpTNdhryh0y?pwd=Y8qF</w:t>
      </w:r>
      <w:r>
        <w:rPr>
          <w:rFonts w:hint="eastAsia" w:ascii="仿宋_GB2312" w:hAnsi="仿宋_GB2312" w:eastAsia="仿宋_GB2312"/>
          <w:sz w:val="32"/>
          <w:lang w:eastAsia="zh-CN"/>
        </w:rPr>
        <w:t xml:space="preserve"> ，文件需上传至相应的参赛组别。</w:t>
      </w:r>
    </w:p>
    <w:p w14:paraId="503CFFA5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六、评价指标</w:t>
      </w:r>
    </w:p>
    <w:p w14:paraId="12C04078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比赛采用百分制评分，从五个维度进行评价：</w:t>
      </w:r>
    </w:p>
    <w:p w14:paraId="76C383BC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（一）教育应用价值（35分）。针对教育教学真实问题，有效解决教学、学习、评价、教研、管理或育人中的痛点难点，具有推广应用价值；</w:t>
      </w:r>
    </w:p>
    <w:p w14:paraId="639EFC86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（二）技术实现水平（25分）。提示词设计科学、知识库与工作流配置合理、功能运行稳定，技术路径清晰，实现方式符合教育教学实际；</w:t>
      </w:r>
    </w:p>
    <w:p w14:paraId="5CE9F945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（三）创新性与专业性（20分）。场景设计新颖，专家思维嵌入合理，体现学科特色与教师专业创造，具有示范引领作用；</w:t>
      </w:r>
    </w:p>
    <w:p w14:paraId="794C3E4F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（四）用户体验（10分）。界面友好、操作简便、响应及时、反馈清晰，师生使用体验良好；</w:t>
      </w:r>
    </w:p>
    <w:p w14:paraId="4B2D7E3B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（五）安全规范与材料完整性（10分）。符合数据安全与教育伦理要求，申报材料完整规范、表述准确、演示视频清晰。</w:t>
      </w:r>
    </w:p>
    <w:p w14:paraId="030E9B8B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</w:rPr>
        <w:t>七、奖项设置</w:t>
      </w:r>
    </w:p>
    <w:p w14:paraId="775F4AB8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按组别分别设置一等奖、二等奖若干名，对获奖作品颁发获奖证书，优秀作品纳入区人工智能教育成果库，择优推荐参加市级及以上相关比赛和展示活动。</w:t>
      </w:r>
    </w:p>
    <w:p w14:paraId="0E902F87">
      <w:pPr>
        <w:spacing w:after="0" w:line="560" w:lineRule="exact"/>
        <w:ind w:firstLine="640" w:firstLineChars="200"/>
        <w:jc w:val="both"/>
      </w:pPr>
      <w:r>
        <w:rPr>
          <w:rFonts w:hint="eastAsia" w:ascii="黑体" w:hAnsi="黑体" w:eastAsia="黑体"/>
          <w:sz w:val="32"/>
          <w:lang w:eastAsia="zh-CN"/>
        </w:rPr>
        <w:t>八</w:t>
      </w:r>
      <w:r>
        <w:rPr>
          <w:rFonts w:hint="eastAsia" w:ascii="黑体" w:hAnsi="黑体" w:eastAsia="黑体"/>
          <w:sz w:val="32"/>
        </w:rPr>
        <w:t>、工作要求</w:t>
      </w:r>
    </w:p>
    <w:p w14:paraId="6D8B034E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（一）加强组织发动。各校要高度重视，广泛发动教师参与，将比赛作为推进人工智能教育、提升教师数字素养的重要抓手，明确专人负责组织工作，鼓励跨学科、跨学段教师组队参赛。</w:t>
      </w:r>
    </w:p>
    <w:p w14:paraId="727D18FA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（二）严格审核把关。各校要对参赛作品的政治方向、内容质量、原创性和安全性严格把关，杜绝代做、抄袭、弄虚作假；参赛作品须为原创，未在其他赛事中获奖或公开发布，不存在知识产权纠纷。</w:t>
      </w:r>
    </w:p>
    <w:p w14:paraId="0D686AAA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（三）落实安全责任。各校应对参赛作品的数据来源、个人信息处理、知识产权、内容安全和运行权限进行审核。存在泄露个人信息、使用未经授权数据、上传敏感信息等情形的，不予参评；已经获奖的，撤销获奖资格。</w:t>
      </w:r>
    </w:p>
    <w:p w14:paraId="09EA260B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联系人：贺</w:t>
      </w:r>
      <w:r>
        <w:rPr>
          <w:rFonts w:hint="eastAsia" w:ascii="仿宋_GB2312" w:hAnsi="仿宋_GB2312" w:eastAsia="仿宋_GB2312"/>
          <w:sz w:val="32"/>
          <w:lang w:eastAsia="zh-CN"/>
        </w:rPr>
        <w:t>老师 邵老师</w:t>
      </w:r>
      <w:r>
        <w:rPr>
          <w:rFonts w:hint="eastAsia" w:ascii="仿宋_GB2312" w:hAnsi="仿宋_GB2312" w:eastAsia="仿宋_GB2312"/>
          <w:sz w:val="32"/>
        </w:rPr>
        <w:t>，联系电话：</w:t>
      </w:r>
      <w:r>
        <w:rPr>
          <w:rFonts w:hint="eastAsia" w:ascii="仿宋_GB2312" w:hAnsi="仿宋_GB2312" w:eastAsia="仿宋_GB2312"/>
          <w:sz w:val="32"/>
          <w:lang w:eastAsia="zh-CN"/>
        </w:rPr>
        <w:t>8</w:t>
      </w:r>
      <w:r>
        <w:rPr>
          <w:rFonts w:ascii="仿宋_GB2312" w:hAnsi="仿宋_GB2312" w:eastAsia="仿宋_GB2312"/>
          <w:sz w:val="32"/>
          <w:lang w:eastAsia="zh-CN"/>
        </w:rPr>
        <w:t>6307027</w:t>
      </w:r>
      <w:r>
        <w:rPr>
          <w:rFonts w:hint="eastAsia" w:ascii="仿宋_GB2312" w:hAnsi="仿宋_GB2312" w:eastAsia="仿宋_GB2312"/>
          <w:sz w:val="32"/>
        </w:rPr>
        <w:t>。</w:t>
      </w:r>
    </w:p>
    <w:p w14:paraId="56F862F8">
      <w:pPr>
        <w:spacing w:after="0" w:line="560" w:lineRule="exact"/>
        <w:jc w:val="both"/>
        <w:rPr>
          <w:rFonts w:ascii="仿宋_GB2312" w:hAnsi="仿宋_GB2312" w:eastAsia="仿宋_GB2312"/>
          <w:sz w:val="32"/>
        </w:rPr>
      </w:pPr>
    </w:p>
    <w:p w14:paraId="09E366AF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附件：</w:t>
      </w:r>
    </w:p>
    <w:p w14:paraId="56A26619">
      <w:pPr>
        <w:spacing w:after="0" w:line="560" w:lineRule="exact"/>
        <w:ind w:firstLine="640" w:firstLineChars="200"/>
        <w:jc w:val="both"/>
      </w:pPr>
      <w:r>
        <w:rPr>
          <w:rFonts w:hint="eastAsia" w:ascii="仿宋_GB2312" w:hAnsi="仿宋_GB2312" w:eastAsia="仿宋_GB2312"/>
          <w:sz w:val="32"/>
        </w:rPr>
        <w:t>1.武进区教育智能体创新应用</w:t>
      </w:r>
      <w:r>
        <w:rPr>
          <w:rFonts w:hint="eastAsia" w:ascii="仿宋_GB2312" w:hAnsi="仿宋_GB2312" w:eastAsia="仿宋_GB2312"/>
          <w:sz w:val="32"/>
          <w:lang w:eastAsia="zh-CN"/>
        </w:rPr>
        <w:t>活动</w:t>
      </w:r>
      <w:r>
        <w:rPr>
          <w:rFonts w:hint="eastAsia" w:ascii="仿宋_GB2312" w:hAnsi="仿宋_GB2312" w:eastAsia="仿宋_GB2312"/>
          <w:sz w:val="32"/>
        </w:rPr>
        <w:t>作品申报表</w:t>
      </w:r>
    </w:p>
    <w:p w14:paraId="26B826D8">
      <w:pPr>
        <w:spacing w:after="0" w:line="560" w:lineRule="exact"/>
        <w:ind w:firstLine="640" w:firstLineChars="200"/>
        <w:jc w:val="both"/>
        <w:rPr>
          <w:rFonts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2.武进区教育智能体创新应用</w:t>
      </w:r>
      <w:r>
        <w:rPr>
          <w:rFonts w:hint="eastAsia" w:ascii="仿宋_GB2312" w:hAnsi="仿宋_GB2312" w:eastAsia="仿宋_GB2312"/>
          <w:sz w:val="32"/>
          <w:lang w:eastAsia="zh-CN"/>
        </w:rPr>
        <w:t>活动</w:t>
      </w:r>
      <w:r>
        <w:rPr>
          <w:rFonts w:hint="eastAsia" w:ascii="仿宋_GB2312" w:hAnsi="仿宋_GB2312" w:eastAsia="仿宋_GB2312"/>
          <w:sz w:val="32"/>
        </w:rPr>
        <w:t>学校作品报送汇总表</w:t>
      </w:r>
    </w:p>
    <w:p w14:paraId="37F304C4">
      <w:pPr>
        <w:spacing w:after="0" w:line="560" w:lineRule="exact"/>
        <w:ind w:firstLine="660" w:firstLineChars="300"/>
        <w:jc w:val="both"/>
      </w:pPr>
    </w:p>
    <w:p w14:paraId="2294F4AC">
      <w:pPr>
        <w:spacing w:after="0" w:line="560" w:lineRule="exact"/>
        <w:jc w:val="both"/>
      </w:pPr>
    </w:p>
    <w:p w14:paraId="2ADFA590">
      <w:pPr>
        <w:spacing w:after="0" w:line="560" w:lineRule="exact"/>
        <w:ind w:right="960"/>
        <w:jc w:val="right"/>
      </w:pPr>
      <w:r>
        <w:rPr>
          <w:rFonts w:hint="eastAsia" w:ascii="仿宋_GB2312" w:hAnsi="仿宋_GB2312" w:eastAsia="仿宋_GB2312"/>
          <w:sz w:val="32"/>
        </w:rPr>
        <w:t>常州市武进区学校和教师发展中心</w:t>
      </w:r>
    </w:p>
    <w:p w14:paraId="2AD069FA">
      <w:pPr>
        <w:spacing w:after="0" w:line="560" w:lineRule="exact"/>
        <w:ind w:right="1280" w:firstLine="4160" w:firstLineChars="1300"/>
      </w:pPr>
      <w:r>
        <w:rPr>
          <w:rFonts w:hint="eastAsia" w:ascii="仿宋_GB2312" w:hAnsi="仿宋_GB2312" w:eastAsia="仿宋_GB2312"/>
          <w:sz w:val="32"/>
        </w:rPr>
        <w:t>2026年8月</w:t>
      </w:r>
      <w:r>
        <w:rPr>
          <w:rFonts w:ascii="仿宋_GB2312" w:hAnsi="仿宋_GB2312" w:eastAsia="仿宋_GB2312"/>
          <w:sz w:val="32"/>
        </w:rPr>
        <w:t>12</w:t>
      </w:r>
      <w:r>
        <w:rPr>
          <w:rFonts w:hint="eastAsia" w:ascii="仿宋_GB2312" w:hAnsi="仿宋_GB2312" w:eastAsia="仿宋_GB2312"/>
          <w:sz w:val="32"/>
        </w:rPr>
        <w:t>日</w:t>
      </w:r>
    </w:p>
    <w:p w14:paraId="6596CAED">
      <w:r>
        <w:br w:type="page"/>
      </w:r>
    </w:p>
    <w:p w14:paraId="3123E86C">
      <w:pPr>
        <w:spacing w:after="0" w:line="640" w:lineRule="exact"/>
      </w:pPr>
      <w:r>
        <w:rPr>
          <w:rFonts w:hint="eastAsia" w:ascii="黑体" w:hAnsi="黑体" w:eastAsia="黑体"/>
          <w:sz w:val="32"/>
        </w:rPr>
        <w:t>附件1</w:t>
      </w:r>
      <w:r>
        <w:rPr>
          <w:rFonts w:hint="eastAsia" w:ascii="黑体" w:hAnsi="黑体" w:eastAsia="黑体"/>
          <w:sz w:val="32"/>
          <w:lang w:eastAsia="zh-CN"/>
        </w:rPr>
        <w:t>：</w:t>
      </w:r>
    </w:p>
    <w:p w14:paraId="45AA05DE">
      <w:pPr>
        <w:spacing w:after="240" w:line="640" w:lineRule="exact"/>
        <w:jc w:val="center"/>
      </w:pPr>
      <w:r>
        <w:rPr>
          <w:rFonts w:hint="eastAsia" w:ascii="方正小标宋简体" w:hAnsi="方正小标宋简体" w:eastAsia="方正小标宋简体"/>
          <w:sz w:val="36"/>
        </w:rPr>
        <w:t>武进区教育智能体创新应用</w:t>
      </w:r>
      <w:r>
        <w:rPr>
          <w:rFonts w:hint="eastAsia" w:ascii="方正小标宋简体" w:hAnsi="方正小标宋简体" w:eastAsia="方正小标宋简体"/>
          <w:sz w:val="36"/>
          <w:lang w:eastAsia="zh-CN"/>
        </w:rPr>
        <w:t>活动</w:t>
      </w:r>
      <w:r>
        <w:rPr>
          <w:rFonts w:hint="eastAsia" w:ascii="方正小标宋简体" w:hAnsi="方正小标宋简体" w:eastAsia="方正小标宋简体"/>
          <w:sz w:val="36"/>
        </w:rPr>
        <w:t>作品申报表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1559"/>
        <w:gridCol w:w="1417"/>
        <w:gridCol w:w="3571"/>
      </w:tblGrid>
      <w:tr w14:paraId="3365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50E5E14B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作品名称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5EC3C5AA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28654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551AD488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作品方向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6020AACD">
            <w:pPr>
              <w:snapToGrid w:val="0"/>
              <w:spacing w:after="0" w:line="240" w:lineRule="atLeas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□助教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□助学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□助评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□助研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□助管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</w:rPr>
              <w:t>□助育</w:t>
            </w:r>
          </w:p>
        </w:tc>
      </w:tr>
      <w:tr w14:paraId="5EEE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62A715EE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参赛组别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1A150D81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□幼儿园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□小学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□初中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□高中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 xml:space="preserve"> </w:t>
            </w:r>
            <w:r>
              <w:rPr>
                <w:rFonts w:ascii="仿宋_GB2312" w:hAnsi="宋体" w:eastAsia="仿宋_GB2312"/>
                <w:sz w:val="24"/>
                <w:lang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职校</w:t>
            </w:r>
          </w:p>
        </w:tc>
      </w:tr>
      <w:tr w14:paraId="5250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57" w:type="dxa"/>
            <w:vMerge w:val="restart"/>
            <w:shd w:val="clear" w:color="auto" w:fill="auto"/>
            <w:vAlign w:val="center"/>
          </w:tcPr>
          <w:p w14:paraId="786FF5BB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第一作者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0A3D77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CDC89F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3571" w:type="dxa"/>
            <w:shd w:val="clear" w:color="auto" w:fill="auto"/>
            <w:vAlign w:val="center"/>
          </w:tcPr>
          <w:p w14:paraId="03FE3363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所在学校</w:t>
            </w:r>
          </w:p>
        </w:tc>
      </w:tr>
      <w:tr w14:paraId="66E4C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57" w:type="dxa"/>
            <w:vMerge w:val="continue"/>
            <w:shd w:val="clear" w:color="auto" w:fill="auto"/>
            <w:vAlign w:val="center"/>
          </w:tcPr>
          <w:p w14:paraId="5ABF406E">
            <w:pPr>
              <w:snapToGrid w:val="0"/>
              <w:spacing w:after="0"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6DF312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1DB5D5">
            <w:pPr>
              <w:snapToGrid w:val="0"/>
              <w:spacing w:after="0" w:line="240" w:lineRule="atLeas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571" w:type="dxa"/>
            <w:shd w:val="clear" w:color="auto" w:fill="auto"/>
            <w:vAlign w:val="center"/>
          </w:tcPr>
          <w:p w14:paraId="7CE836A8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071DC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57" w:type="dxa"/>
            <w:vMerge w:val="restart"/>
            <w:shd w:val="clear" w:color="auto" w:fill="auto"/>
            <w:vAlign w:val="center"/>
          </w:tcPr>
          <w:p w14:paraId="77E84793">
            <w:pPr>
              <w:snapToGrid w:val="0"/>
              <w:spacing w:after="0"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团队成员</w:t>
            </w:r>
          </w:p>
          <w:p w14:paraId="6620BB99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（不超过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4</w:t>
            </w:r>
            <w:r>
              <w:rPr>
                <w:rFonts w:hint="eastAsia" w:ascii="仿宋_GB2312" w:hAnsi="宋体" w:eastAsia="仿宋_GB2312"/>
                <w:sz w:val="24"/>
              </w:rPr>
              <w:t>人）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AC0A5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6FEFB73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3571" w:type="dxa"/>
            <w:shd w:val="clear" w:color="auto" w:fill="auto"/>
            <w:vAlign w:val="center"/>
          </w:tcPr>
          <w:p w14:paraId="27DBB410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4B4D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57" w:type="dxa"/>
            <w:vMerge w:val="continue"/>
            <w:shd w:val="clear" w:color="auto" w:fill="auto"/>
            <w:vAlign w:val="center"/>
          </w:tcPr>
          <w:p w14:paraId="3C798213">
            <w:pPr>
              <w:snapToGrid w:val="0"/>
              <w:spacing w:after="0"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230980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2D4AD37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3571" w:type="dxa"/>
            <w:shd w:val="clear" w:color="auto" w:fill="auto"/>
            <w:vAlign w:val="center"/>
          </w:tcPr>
          <w:p w14:paraId="1F7D9462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3BB4C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57" w:type="dxa"/>
            <w:vMerge w:val="continue"/>
            <w:shd w:val="clear" w:color="auto" w:fill="auto"/>
            <w:vAlign w:val="center"/>
          </w:tcPr>
          <w:p w14:paraId="60EC44FF">
            <w:pPr>
              <w:snapToGrid w:val="0"/>
              <w:spacing w:after="0"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3D2D17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19DCEC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3571" w:type="dxa"/>
            <w:shd w:val="clear" w:color="auto" w:fill="auto"/>
            <w:vAlign w:val="center"/>
          </w:tcPr>
          <w:p w14:paraId="0E6D2EA6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401B0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57" w:type="dxa"/>
            <w:vMerge w:val="continue"/>
            <w:shd w:val="clear" w:color="auto" w:fill="auto"/>
            <w:vAlign w:val="center"/>
          </w:tcPr>
          <w:p w14:paraId="1B9ECE7D">
            <w:pPr>
              <w:snapToGrid w:val="0"/>
              <w:spacing w:after="0"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CA50318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3438318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  <w:tc>
          <w:tcPr>
            <w:tcW w:w="3571" w:type="dxa"/>
            <w:shd w:val="clear" w:color="auto" w:fill="auto"/>
            <w:vAlign w:val="center"/>
          </w:tcPr>
          <w:p w14:paraId="48439DCB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57273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5ECB9C92">
            <w:pPr>
              <w:snapToGrid w:val="0"/>
              <w:spacing w:after="0" w:line="240" w:lineRule="atLeas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开发平台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及工具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0D460D1B">
            <w:pPr>
              <w:snapToGrid w:val="0"/>
              <w:spacing w:after="0" w:line="240" w:lineRule="atLeast"/>
              <w:rPr>
                <w:rFonts w:ascii="仿宋_GB2312" w:hAnsi="宋体" w:eastAsia="仿宋_GB2312"/>
                <w:sz w:val="24"/>
              </w:rPr>
            </w:pPr>
          </w:p>
        </w:tc>
      </w:tr>
      <w:tr w14:paraId="0070B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70ABCFA2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智能体功能简介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325E1C15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4E052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7D1F2449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解决的教育教学</w:t>
            </w:r>
          </w:p>
          <w:p w14:paraId="0880B11B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问题及应用场景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1B1AD361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2F72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005E01AF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技术实现说明</w:t>
            </w:r>
          </w:p>
          <w:p w14:paraId="50A302B0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（提示词/知识库/工作流/插件等）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1F0E48F4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647EC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6A254B84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智能体访问入口</w:t>
            </w:r>
          </w:p>
          <w:p w14:paraId="052A4B0F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（链接或二维码）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2BBC2E9A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</w:tc>
      </w:tr>
      <w:tr w14:paraId="2EE95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1957" w:type="dxa"/>
            <w:shd w:val="clear" w:color="auto" w:fill="auto"/>
            <w:vAlign w:val="center"/>
          </w:tcPr>
          <w:p w14:paraId="179D6C8F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学校推荐意见</w:t>
            </w:r>
          </w:p>
        </w:tc>
        <w:tc>
          <w:tcPr>
            <w:tcW w:w="6547" w:type="dxa"/>
            <w:gridSpan w:val="3"/>
            <w:shd w:val="clear" w:color="auto" w:fill="auto"/>
            <w:vAlign w:val="center"/>
          </w:tcPr>
          <w:p w14:paraId="413AAA04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  <w:p w14:paraId="1FC8328D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  <w:p w14:paraId="366F1907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</w:p>
          <w:p w14:paraId="57578C99">
            <w:pPr>
              <w:snapToGrid w:val="0"/>
              <w:spacing w:after="0" w:line="240" w:lineRule="atLeast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 xml:space="preserve"> </w:t>
            </w:r>
            <w:r>
              <w:rPr>
                <w:rFonts w:ascii="仿宋_GB2312" w:eastAsia="仿宋_GB2312"/>
                <w:lang w:eastAsia="zh-CN"/>
              </w:rPr>
              <w:t xml:space="preserve">                               </w:t>
            </w:r>
            <w:r>
              <w:rPr>
                <w:rFonts w:hint="eastAsia" w:ascii="仿宋_GB2312" w:eastAsia="仿宋_GB2312"/>
                <w:lang w:eastAsia="zh-CN"/>
              </w:rPr>
              <w:t>学校（盖章）</w:t>
            </w:r>
          </w:p>
          <w:p w14:paraId="4973C2C8">
            <w:pPr>
              <w:snapToGrid w:val="0"/>
              <w:spacing w:after="0" w:line="240" w:lineRule="atLeas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 xml:space="preserve"> </w:t>
            </w:r>
            <w:r>
              <w:rPr>
                <w:rFonts w:ascii="仿宋_GB2312" w:eastAsia="仿宋_GB2312"/>
                <w:lang w:eastAsia="zh-CN"/>
              </w:rPr>
              <w:t xml:space="preserve">                               </w:t>
            </w:r>
            <w:r>
              <w:rPr>
                <w:rFonts w:hint="eastAsia" w:ascii="仿宋_GB2312" w:eastAsia="仿宋_GB2312"/>
                <w:lang w:eastAsia="zh-CN"/>
              </w:rPr>
              <w:t xml:space="preserve">日期： </w:t>
            </w:r>
            <w:r>
              <w:rPr>
                <w:rFonts w:ascii="仿宋_GB2312" w:eastAsia="仿宋_GB2312"/>
                <w:lang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 xml:space="preserve">年 </w:t>
            </w:r>
            <w:r>
              <w:rPr>
                <w:rFonts w:ascii="仿宋_GB2312" w:eastAsia="仿宋_GB2312"/>
                <w:lang w:eastAsia="zh-CN"/>
              </w:rPr>
              <w:t xml:space="preserve">  </w:t>
            </w:r>
            <w:r>
              <w:rPr>
                <w:rFonts w:hint="eastAsia" w:ascii="仿宋_GB2312" w:eastAsia="仿宋_GB2312"/>
                <w:lang w:eastAsia="zh-CN"/>
              </w:rPr>
              <w:t xml:space="preserve">月 </w:t>
            </w:r>
            <w:r>
              <w:rPr>
                <w:rFonts w:ascii="仿宋_GB2312" w:eastAsia="仿宋_GB2312"/>
                <w:lang w:eastAsia="zh-CN"/>
              </w:rPr>
              <w:t xml:space="preserve">  </w:t>
            </w:r>
            <w:r>
              <w:rPr>
                <w:rFonts w:hint="eastAsia" w:ascii="仿宋_GB2312" w:eastAsia="仿宋_GB2312"/>
                <w:lang w:eastAsia="zh-CN"/>
              </w:rPr>
              <w:t>日</w:t>
            </w:r>
          </w:p>
        </w:tc>
      </w:tr>
    </w:tbl>
    <w:p w14:paraId="31617638">
      <w:r>
        <w:br w:type="page"/>
      </w:r>
    </w:p>
    <w:p w14:paraId="226BEB59">
      <w:pPr>
        <w:spacing w:after="0" w:line="640" w:lineRule="exact"/>
        <w:rPr>
          <w:rFonts w:ascii="黑体" w:hAnsi="黑体" w:eastAsia="黑体"/>
          <w:sz w:val="32"/>
        </w:rPr>
        <w:sectPr>
          <w:pgSz w:w="11906" w:h="16838"/>
          <w:pgMar w:top="1928" w:right="1474" w:bottom="1871" w:left="1588" w:header="720" w:footer="720" w:gutter="0"/>
          <w:cols w:space="720" w:num="1"/>
          <w:docGrid w:linePitch="360" w:charSpace="0"/>
        </w:sectPr>
      </w:pPr>
    </w:p>
    <w:p w14:paraId="22A479B3">
      <w:pPr>
        <w:spacing w:after="0" w:line="640" w:lineRule="exact"/>
      </w:pPr>
      <w:r>
        <w:rPr>
          <w:rFonts w:hint="eastAsia" w:ascii="黑体" w:hAnsi="黑体" w:eastAsia="黑体"/>
          <w:sz w:val="32"/>
        </w:rPr>
        <w:t>附件2</w:t>
      </w:r>
      <w:r>
        <w:rPr>
          <w:rFonts w:hint="eastAsia" w:ascii="黑体" w:hAnsi="黑体" w:eastAsia="黑体"/>
          <w:sz w:val="32"/>
          <w:lang w:eastAsia="zh-CN"/>
        </w:rPr>
        <w:t>：</w:t>
      </w:r>
    </w:p>
    <w:p w14:paraId="01B3A170">
      <w:pPr>
        <w:spacing w:after="40" w:line="640" w:lineRule="exact"/>
        <w:jc w:val="center"/>
      </w:pPr>
      <w:r>
        <w:rPr>
          <w:rFonts w:hint="eastAsia" w:ascii="方正小标宋简体" w:hAnsi="方正小标宋简体" w:eastAsia="方正小标宋简体"/>
          <w:sz w:val="36"/>
        </w:rPr>
        <w:t>武进区教育智能体创新应用</w:t>
      </w:r>
      <w:r>
        <w:rPr>
          <w:rFonts w:hint="eastAsia" w:ascii="方正小标宋简体" w:hAnsi="方正小标宋简体" w:eastAsia="方正小标宋简体"/>
          <w:sz w:val="36"/>
          <w:lang w:eastAsia="zh-CN"/>
        </w:rPr>
        <w:t>活动</w:t>
      </w:r>
      <w:r>
        <w:rPr>
          <w:rFonts w:hint="eastAsia" w:ascii="方正小标宋简体" w:hAnsi="方正小标宋简体" w:eastAsia="方正小标宋简体"/>
          <w:sz w:val="36"/>
        </w:rPr>
        <w:t>学校作品报送汇总表</w:t>
      </w:r>
    </w:p>
    <w:p w14:paraId="08DDF1A4">
      <w:pPr>
        <w:spacing w:before="120" w:after="80" w:line="560" w:lineRule="exact"/>
        <w:jc w:val="both"/>
        <w:rPr>
          <w:rFonts w:ascii="仿宋_GB2312" w:eastAsia="仿宋_GB2312"/>
          <w:sz w:val="24"/>
          <w:szCs w:val="24"/>
          <w:lang w:eastAsia="zh-CN"/>
        </w:rPr>
      </w:pPr>
      <w:r>
        <w:rPr>
          <w:rFonts w:hint="eastAsia" w:ascii="仿宋_GB2312" w:hAnsi="宋体" w:eastAsia="仿宋_GB2312"/>
          <w:sz w:val="24"/>
          <w:szCs w:val="24"/>
        </w:rPr>
        <w:t>学校名称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 xml:space="preserve">（盖章）：                    </w:t>
      </w:r>
      <w:r>
        <w:rPr>
          <w:rFonts w:ascii="仿宋_GB2312" w:hAnsi="宋体" w:eastAsia="仿宋_GB2312"/>
          <w:sz w:val="24"/>
          <w:szCs w:val="24"/>
          <w:lang w:eastAsia="zh-CN"/>
        </w:rPr>
        <w:t xml:space="preserve">  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 xml:space="preserve">    </w:t>
      </w:r>
      <w:r>
        <w:rPr>
          <w:rFonts w:hint="eastAsia" w:ascii="仿宋_GB2312" w:hAnsi="宋体" w:eastAsia="仿宋_GB2312"/>
          <w:sz w:val="24"/>
          <w:szCs w:val="24"/>
        </w:rPr>
        <w:t>联系人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 xml:space="preserve">：        </w:t>
      </w:r>
      <w:r>
        <w:rPr>
          <w:rFonts w:ascii="仿宋_GB2312" w:hAnsi="宋体" w:eastAsia="仿宋_GB2312"/>
          <w:sz w:val="24"/>
          <w:szCs w:val="24"/>
          <w:lang w:eastAsia="zh-CN"/>
        </w:rPr>
        <w:t xml:space="preserve">    </w:t>
      </w:r>
      <w:r>
        <w:rPr>
          <w:rFonts w:hint="eastAsia" w:ascii="仿宋_GB2312" w:hAnsi="宋体" w:eastAsia="仿宋_GB2312"/>
          <w:sz w:val="24"/>
          <w:szCs w:val="24"/>
          <w:lang w:eastAsia="zh-CN"/>
        </w:rPr>
        <w:t xml:space="preserve">          联系电话：</w:t>
      </w:r>
    </w:p>
    <w:tbl>
      <w:tblPr>
        <w:tblStyle w:val="35"/>
        <w:tblW w:w="129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425"/>
        <w:gridCol w:w="1276"/>
        <w:gridCol w:w="1275"/>
        <w:gridCol w:w="1985"/>
        <w:gridCol w:w="1199"/>
        <w:gridCol w:w="1200"/>
        <w:gridCol w:w="2812"/>
      </w:tblGrid>
      <w:tr w14:paraId="411EC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3AB8782E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序号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517E1458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作品名称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0CFBFA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作品方向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C209AB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参赛组别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B654FB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第一作者及团队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7651E16E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D39396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开发平台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7F0E38D0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智能体访问链接/二维码</w:t>
            </w:r>
          </w:p>
        </w:tc>
      </w:tr>
      <w:tr w14:paraId="00788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1AA8B665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1</w:t>
            </w:r>
          </w:p>
        </w:tc>
        <w:tc>
          <w:tcPr>
            <w:tcW w:w="2425" w:type="dxa"/>
            <w:vAlign w:val="center"/>
          </w:tcPr>
          <w:p w14:paraId="7D22B03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15FE5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BDF00DB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7CC03A9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24B8C79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59494B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4242EC00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1D7CF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2DC1C7B6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2</w:t>
            </w:r>
          </w:p>
        </w:tc>
        <w:tc>
          <w:tcPr>
            <w:tcW w:w="2425" w:type="dxa"/>
            <w:vAlign w:val="center"/>
          </w:tcPr>
          <w:p w14:paraId="74253D0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93F3EA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BB7D83A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A6E73E0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00D9B16D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9EABA34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3DD82B78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C357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3DC2B149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3</w:t>
            </w:r>
          </w:p>
        </w:tc>
        <w:tc>
          <w:tcPr>
            <w:tcW w:w="2425" w:type="dxa"/>
            <w:vAlign w:val="center"/>
          </w:tcPr>
          <w:p w14:paraId="651CAA8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DC6029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59F288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BF8806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74B8C3D8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E30D6A7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6B1908EE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662D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6508B4D7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4</w:t>
            </w:r>
          </w:p>
        </w:tc>
        <w:tc>
          <w:tcPr>
            <w:tcW w:w="2425" w:type="dxa"/>
            <w:vAlign w:val="center"/>
          </w:tcPr>
          <w:p w14:paraId="41BDC3B0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139F31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7A272B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2AE3FD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0A9E305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209A793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11B9914C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B134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1B7F5E12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5</w:t>
            </w:r>
          </w:p>
        </w:tc>
        <w:tc>
          <w:tcPr>
            <w:tcW w:w="2425" w:type="dxa"/>
            <w:vAlign w:val="center"/>
          </w:tcPr>
          <w:p w14:paraId="58583804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751EC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92D196B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5D477D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6EF6E555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B9D9F61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7C5C9C77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6A16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1C4FD8D4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6</w:t>
            </w:r>
          </w:p>
        </w:tc>
        <w:tc>
          <w:tcPr>
            <w:tcW w:w="2425" w:type="dxa"/>
            <w:vAlign w:val="center"/>
          </w:tcPr>
          <w:p w14:paraId="33472352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D96C12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9E1FCB6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1AED8E3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25BE1CA2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1776E53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46851E5B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586D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2E2C4FA2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7</w:t>
            </w:r>
          </w:p>
        </w:tc>
        <w:tc>
          <w:tcPr>
            <w:tcW w:w="2425" w:type="dxa"/>
            <w:vAlign w:val="center"/>
          </w:tcPr>
          <w:p w14:paraId="0253B746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DCA860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6CE0EC3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C6707EB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235794B0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D5236C2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6E8C16BD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FFCF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06" w:type="dxa"/>
            <w:vAlign w:val="center"/>
          </w:tcPr>
          <w:p w14:paraId="566B0841">
            <w:pPr>
              <w:snapToGrid w:val="0"/>
              <w:spacing w:after="0" w:line="24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8</w:t>
            </w:r>
          </w:p>
        </w:tc>
        <w:tc>
          <w:tcPr>
            <w:tcW w:w="2425" w:type="dxa"/>
            <w:vAlign w:val="center"/>
          </w:tcPr>
          <w:p w14:paraId="4FDB037F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876C4B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0F1C00A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AA8BCFD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67D96233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5559DD19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2" w:type="dxa"/>
            <w:vAlign w:val="center"/>
          </w:tcPr>
          <w:p w14:paraId="2EFE2BA7">
            <w:pPr>
              <w:snapToGrid w:val="0"/>
              <w:spacing w:after="0" w:line="240" w:lineRule="atLeas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325C66DF">
      <w:pPr>
        <w:snapToGrid w:val="0"/>
        <w:spacing w:after="0" w:line="400" w:lineRule="atLeast"/>
        <w:jc w:val="both"/>
        <w:rPr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说明：</w:t>
      </w:r>
    </w:p>
    <w:p w14:paraId="0D2A9D6C">
      <w:pPr>
        <w:snapToGrid w:val="0"/>
        <w:spacing w:after="0" w:line="400" w:lineRule="atLeast"/>
        <w:jc w:val="both"/>
        <w:rPr>
          <w:sz w:val="24"/>
          <w:szCs w:val="24"/>
        </w:rPr>
      </w:pPr>
      <w:r>
        <w:rPr>
          <w:rFonts w:hint="eastAsia" w:ascii="楷体_GB2312" w:hAnsi="楷体_GB2312" w:eastAsia="楷体_GB2312"/>
          <w:sz w:val="24"/>
          <w:szCs w:val="24"/>
        </w:rPr>
        <w:t>1.本表由学校汇总填写并加盖公章，与参赛作品材料一并报送；作品方向从助教、助学、助评、助研、助管、助育中选择其一填写。</w:t>
      </w:r>
    </w:p>
    <w:p w14:paraId="299DF10F">
      <w:pPr>
        <w:snapToGrid w:val="0"/>
        <w:spacing w:after="0" w:line="400" w:lineRule="atLeast"/>
        <w:jc w:val="both"/>
        <w:rPr>
          <w:sz w:val="24"/>
          <w:szCs w:val="24"/>
        </w:rPr>
      </w:pPr>
      <w:r>
        <w:rPr>
          <w:rFonts w:hint="eastAsia" w:ascii="楷体_GB2312" w:hAnsi="楷体_GB2312" w:eastAsia="楷体_GB2312"/>
          <w:sz w:val="24"/>
          <w:szCs w:val="24"/>
        </w:rPr>
        <w:t>2.智能体访问入口应保证评审期间可访问；如为二维码，请将二维码图片粘贴于表</w:t>
      </w:r>
      <w:r>
        <w:rPr>
          <w:rFonts w:hint="eastAsia" w:ascii="楷体_GB2312" w:hAnsi="楷体_GB2312" w:eastAsia="楷体_GB2312"/>
          <w:sz w:val="24"/>
          <w:szCs w:val="24"/>
          <w:lang w:eastAsia="zh-CN"/>
        </w:rPr>
        <w:t>格</w:t>
      </w:r>
      <w:r>
        <w:rPr>
          <w:rFonts w:hint="eastAsia" w:ascii="楷体_GB2312" w:hAnsi="楷体_GB2312" w:eastAsia="楷体_GB2312"/>
          <w:sz w:val="24"/>
          <w:szCs w:val="24"/>
        </w:rPr>
        <w:t>中。</w:t>
      </w:r>
    </w:p>
    <w:sectPr>
      <w:pgSz w:w="16838" w:h="11906" w:orient="landscape"/>
      <w:pgMar w:top="1588" w:right="2098" w:bottom="1474" w:left="1985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AC5894"/>
    <w:multiLevelType w:val="multilevel"/>
    <w:tmpl w:val="31AC5894"/>
    <w:lvl w:ilvl="0" w:tentative="0">
      <w:start w:val="1"/>
      <w:numFmt w:val="decimal"/>
      <w:pStyle w:val="1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4FD1"/>
    <w:rsid w:val="0013020B"/>
    <w:rsid w:val="0015074B"/>
    <w:rsid w:val="001B2A5E"/>
    <w:rsid w:val="00244185"/>
    <w:rsid w:val="0029639D"/>
    <w:rsid w:val="00326F90"/>
    <w:rsid w:val="00331FBE"/>
    <w:rsid w:val="003B316C"/>
    <w:rsid w:val="003D10A8"/>
    <w:rsid w:val="004443EE"/>
    <w:rsid w:val="004D5BD7"/>
    <w:rsid w:val="004F5D39"/>
    <w:rsid w:val="00541F85"/>
    <w:rsid w:val="005A4921"/>
    <w:rsid w:val="005D67EA"/>
    <w:rsid w:val="00661638"/>
    <w:rsid w:val="00694254"/>
    <w:rsid w:val="00700DBC"/>
    <w:rsid w:val="00734954"/>
    <w:rsid w:val="00756470"/>
    <w:rsid w:val="007F3F1E"/>
    <w:rsid w:val="008B7A69"/>
    <w:rsid w:val="008C026F"/>
    <w:rsid w:val="009557C2"/>
    <w:rsid w:val="009A53DA"/>
    <w:rsid w:val="009B63EF"/>
    <w:rsid w:val="009E090F"/>
    <w:rsid w:val="00A1576B"/>
    <w:rsid w:val="00A234F7"/>
    <w:rsid w:val="00A83F1F"/>
    <w:rsid w:val="00AA1D8D"/>
    <w:rsid w:val="00B47730"/>
    <w:rsid w:val="00B61D85"/>
    <w:rsid w:val="00BA0AFC"/>
    <w:rsid w:val="00C404BA"/>
    <w:rsid w:val="00C944E3"/>
    <w:rsid w:val="00CB0664"/>
    <w:rsid w:val="00CB714F"/>
    <w:rsid w:val="00D051B4"/>
    <w:rsid w:val="00D67C20"/>
    <w:rsid w:val="00DC1608"/>
    <w:rsid w:val="00E50C3A"/>
    <w:rsid w:val="00F84B04"/>
    <w:rsid w:val="00FC277B"/>
    <w:rsid w:val="00FC693F"/>
    <w:rsid w:val="00FE6EF3"/>
    <w:rsid w:val="5EE43C04"/>
    <w:rsid w:val="6BC9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7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7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9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82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2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4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tabs>
        <w:tab w:val="left" w:pos="720"/>
      </w:tabs>
      <w:ind w:left="720" w:hanging="720"/>
      <w:contextualSpacing/>
    </w:pPr>
  </w:style>
  <w:style w:type="paragraph" w:styleId="14">
    <w:name w:val="List Number"/>
    <w:basedOn w:val="1"/>
    <w:unhideWhenUsed/>
    <w:uiPriority w:val="99"/>
    <w:pPr>
      <w:tabs>
        <w:tab w:val="left" w:pos="720"/>
      </w:tabs>
      <w:ind w:left="720" w:hanging="720"/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</w:style>
  <w:style w:type="paragraph" w:styleId="18">
    <w:name w:val="Body Text 3"/>
    <w:basedOn w:val="1"/>
    <w:link w:val="153"/>
    <w:unhideWhenUsed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uiPriority w:val="99"/>
    <w:pPr>
      <w:tabs>
        <w:tab w:val="left" w:pos="720"/>
      </w:tabs>
      <w:ind w:left="720" w:hanging="720"/>
      <w:contextualSpacing/>
    </w:pPr>
  </w:style>
  <w:style w:type="paragraph" w:styleId="20">
    <w:name w:val="Body Text"/>
    <w:basedOn w:val="1"/>
    <w:link w:val="163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uiPriority w:val="99"/>
    <w:pPr>
      <w:tabs>
        <w:tab w:val="left" w:pos="720"/>
      </w:tabs>
      <w:ind w:left="720" w:hanging="720"/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uiPriority w:val="99"/>
    <w:pPr>
      <w:tabs>
        <w:tab w:val="left" w:pos="720"/>
      </w:tabs>
      <w:ind w:left="720" w:hanging="720"/>
      <w:contextualSpacing/>
    </w:pPr>
  </w:style>
  <w:style w:type="paragraph" w:styleId="25">
    <w:name w:val="Balloon Text"/>
    <w:basedOn w:val="1"/>
    <w:link w:val="183"/>
    <w:semiHidden/>
    <w:unhideWhenUsed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3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5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3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uiPriority w:val="99"/>
    <w:pPr>
      <w:ind w:left="360" w:hanging="360"/>
      <w:contextualSpacing/>
    </w:pPr>
  </w:style>
  <w:style w:type="paragraph" w:styleId="30">
    <w:name w:val="Body Text 2"/>
    <w:basedOn w:val="1"/>
    <w:link w:val="170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60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副标题 字符"/>
    <w:basedOn w:val="134"/>
    <w:link w:val="28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38">
    <w:name w:val="标题 2 字符"/>
    <w:basedOn w:val="13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39">
    <w:name w:val="标题 1 字符"/>
    <w:basedOn w:val="134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5 字符"/>
    <w:basedOn w:val="134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1">
    <w:name w:val="标题 4 字符"/>
    <w:basedOn w:val="134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正文文本 2 字符"/>
    <w:basedOn w:val="134"/>
    <w:uiPriority w:val="99"/>
  </w:style>
  <w:style w:type="character" w:customStyle="1" w:styleId="143">
    <w:name w:val="页脚 字符"/>
    <w:basedOn w:val="134"/>
    <w:link w:val="26"/>
    <w:uiPriority w:val="99"/>
  </w:style>
  <w:style w:type="character" w:customStyle="1" w:styleId="144">
    <w:name w:val="宏文本 字符"/>
    <w:basedOn w:val="134"/>
    <w:link w:val="2"/>
    <w:uiPriority w:val="99"/>
    <w:rPr>
      <w:rFonts w:ascii="Courier" w:hAnsi="Courier"/>
      <w:sz w:val="20"/>
      <w:szCs w:val="20"/>
    </w:rPr>
  </w:style>
  <w:style w:type="character" w:customStyle="1" w:styleId="145">
    <w:name w:val="Heading 4 Char"/>
    <w:basedOn w:val="134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明显参考1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7">
    <w:name w:val="引用 字符"/>
    <w:basedOn w:val="134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8">
    <w:name w:val="Quote"/>
    <w:basedOn w:val="1"/>
    <w:next w:val="1"/>
    <w:link w:val="14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Heading 7 Char"/>
    <w:basedOn w:val="134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0">
    <w:name w:val="书籍标题1"/>
    <w:basedOn w:val="134"/>
    <w:qFormat/>
    <w:uiPriority w:val="33"/>
    <w:rPr>
      <w:b/>
      <w:bCs/>
      <w:smallCaps/>
      <w:spacing w:val="5"/>
    </w:rPr>
  </w:style>
  <w:style w:type="character" w:customStyle="1" w:styleId="151">
    <w:name w:val="Quote Char"/>
    <w:basedOn w:val="134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Title Char"/>
    <w:basedOn w:val="13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53">
    <w:name w:val="正文文本 3 字符"/>
    <w:basedOn w:val="134"/>
    <w:link w:val="18"/>
    <w:uiPriority w:val="99"/>
    <w:rPr>
      <w:sz w:val="16"/>
      <w:szCs w:val="16"/>
    </w:rPr>
  </w:style>
  <w:style w:type="character" w:customStyle="1" w:styleId="154">
    <w:name w:val="Heading 9 Char"/>
    <w:basedOn w:val="134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页眉 字符"/>
    <w:basedOn w:val="134"/>
    <w:link w:val="27"/>
    <w:uiPriority w:val="99"/>
  </w:style>
  <w:style w:type="character" w:customStyle="1" w:styleId="156">
    <w:name w:val="Body Text Char"/>
    <w:basedOn w:val="134"/>
    <w:uiPriority w:val="99"/>
  </w:style>
  <w:style w:type="character" w:customStyle="1" w:styleId="157">
    <w:name w:val="标题 6 字符"/>
    <w:basedOn w:val="134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8">
    <w:name w:val="Subtitle Char"/>
    <w:basedOn w:val="1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9">
    <w:name w:val="Macro Text Char"/>
    <w:basedOn w:val="134"/>
    <w:uiPriority w:val="99"/>
    <w:rPr>
      <w:rFonts w:ascii="Courier" w:hAnsi="Courier"/>
      <w:sz w:val="20"/>
      <w:szCs w:val="20"/>
    </w:rPr>
  </w:style>
  <w:style w:type="character" w:customStyle="1" w:styleId="160">
    <w:name w:val="标题 字符"/>
    <w:basedOn w:val="134"/>
    <w:link w:val="33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1">
    <w:name w:val="不明显参考1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标题 9 字符"/>
    <w:basedOn w:val="134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3">
    <w:name w:val="正文文本 字符"/>
    <w:basedOn w:val="134"/>
    <w:link w:val="20"/>
    <w:uiPriority w:val="99"/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不明显强调1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6">
    <w:name w:val="Heading 8 Char"/>
    <w:basedOn w:val="134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7">
    <w:name w:val="Body Text 3 Char"/>
    <w:basedOn w:val="134"/>
    <w:uiPriority w:val="99"/>
    <w:rPr>
      <w:sz w:val="16"/>
      <w:szCs w:val="16"/>
    </w:rPr>
  </w:style>
  <w:style w:type="character" w:customStyle="1" w:styleId="168">
    <w:name w:val="标题 8 字符"/>
    <w:basedOn w:val="134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9">
    <w:name w:val="标题 5 字符1"/>
    <w:basedOn w:val="134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70">
    <w:name w:val="正文文本 2 字符1"/>
    <w:basedOn w:val="134"/>
    <w:link w:val="30"/>
    <w:uiPriority w:val="99"/>
  </w:style>
  <w:style w:type="character" w:customStyle="1" w:styleId="171">
    <w:name w:val="标题 2 字符1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72">
    <w:name w:val="明显强调1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73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174">
    <w:name w:val="Intense Quote"/>
    <w:basedOn w:val="1"/>
    <w:next w:val="1"/>
    <w:link w:val="18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5">
    <w:name w:val="标题 3 字符"/>
    <w:basedOn w:val="134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6">
    <w:name w:val="Heading 1 Char"/>
    <w:basedOn w:val="134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77">
    <w:name w:val="Intense Quote Char"/>
    <w:basedOn w:val="134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8">
    <w:name w:val="Heading 6 Char"/>
    <w:basedOn w:val="134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79">
    <w:name w:val="List Paragraph"/>
    <w:basedOn w:val="1"/>
    <w:qFormat/>
    <w:uiPriority w:val="34"/>
    <w:pPr>
      <w:ind w:left="720"/>
      <w:contextualSpacing/>
    </w:pPr>
  </w:style>
  <w:style w:type="character" w:customStyle="1" w:styleId="180">
    <w:name w:val="Heading 3 Char"/>
    <w:basedOn w:val="13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81">
    <w:name w:val="明显引用 字符"/>
    <w:basedOn w:val="134"/>
    <w:link w:val="174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82">
    <w:name w:val="标题 7 字符"/>
    <w:basedOn w:val="134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3">
    <w:name w:val="批注框文本 字符"/>
    <w:basedOn w:val="134"/>
    <w:link w:val="25"/>
    <w:semiHidden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497</Words>
  <Characters>512</Characters>
  <Lines>24</Lines>
  <Paragraphs>6</Paragraphs>
  <TotalTime>1991</TotalTime>
  <ScaleCrop>false</ScaleCrop>
  <LinksUpToDate>false</LinksUpToDate>
  <CharactersWithSpaces>512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2026-08-10T08:36:00Z</dcterms:created>
  <dc:creator>30723</dc:creator>
  <cp:lastModifiedBy>Shortway</cp:lastModifiedBy>
  <dcterms:modified xsi:type="dcterms:W3CDTF">2026-08-15T08:46:39Z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eyJoZGlkIjoiNDI1ODcxYjVmZjZkMWU3MWQxYjIzODRlMjg1YmE2ZTciLCJ1c2VySWQiOiIxOTQ3ODkwMzYifQ==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B0A3AF2D0C224E93B959BE5A618D061E_13</vt:lpwstr>
  </property>
</Properties>
</file>