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288F6">
      <w:pPr>
        <w:pStyle w:val="2"/>
        <w:rPr>
          <w:rFonts w:ascii="Times New Roman" w:hAnsi="Times New Roman" w:cs="Times New Roman"/>
        </w:rPr>
      </w:pPr>
      <w:bookmarkStart w:id="0" w:name="_Toc26135"/>
      <w:bookmarkStart w:id="1" w:name="_Toc21153"/>
      <w:bookmarkStart w:id="2" w:name="_Toc27620"/>
      <w:bookmarkStart w:id="3" w:name="_Toc29015"/>
      <w:bookmarkStart w:id="4" w:name="_Toc29815"/>
      <w:bookmarkStart w:id="5" w:name="_Toc17203"/>
      <w:bookmarkStart w:id="6" w:name="_Toc24066"/>
      <w:bookmarkStart w:id="7" w:name="_Toc230163645"/>
      <w:bookmarkStart w:id="8" w:name="_Toc7139"/>
      <w:bookmarkStart w:id="9" w:name="_Toc335"/>
      <w:bookmarkStart w:id="10" w:name="_Toc165"/>
      <w:bookmarkStart w:id="11" w:name="_Toc15123"/>
      <w:bookmarkStart w:id="12" w:name="_Toc5489"/>
      <w:bookmarkStart w:id="13" w:name="_Toc5744"/>
      <w:bookmarkStart w:id="14" w:name="_Toc9806"/>
      <w:bookmarkStart w:id="15" w:name="_Toc575425245"/>
      <w:bookmarkStart w:id="16" w:name="_Toc1532"/>
      <w:bookmarkStart w:id="17" w:name="_Toc5288"/>
      <w:bookmarkStart w:id="18" w:name="_Toc22948"/>
      <w:bookmarkStart w:id="19" w:name="_Toc28160"/>
      <w:bookmarkStart w:id="20" w:name="_Toc3873"/>
      <w:bookmarkStart w:id="21" w:name="_Toc27753"/>
      <w:bookmarkStart w:id="22" w:name="_Toc18367"/>
      <w:bookmarkStart w:id="23" w:name="_Toc32339"/>
      <w:r>
        <w:rPr>
          <w:rFonts w:ascii="Times New Roman" w:hAnsi="Times New Roman" w:cs="Times New Roman"/>
        </w:rPr>
        <w:t>初中生物学科人工智能赋能教学指南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689A79F2"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bookmarkStart w:id="24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(征求意见稿)</w:t>
      </w:r>
    </w:p>
    <w:bookmarkEnd w:id="24"/>
    <w:p w14:paraId="2C6DCEB7">
      <w:pPr>
        <w:spacing w:line="288" w:lineRule="auto"/>
        <w:rPr>
          <w:rFonts w:ascii="Times New Roman" w:hAnsi="Times New Roman" w:cs="Times New Roman"/>
        </w:rPr>
      </w:pPr>
    </w:p>
    <w:p w14:paraId="2246062C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一、指南总则</w:t>
      </w:r>
    </w:p>
    <w:p w14:paraId="01B268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指南依据《人工智能赋能基础教育应用蓝皮书（2025）》编制，紧扣“以‘智’助教、以‘智’助学、以‘智’助评、以‘智’助研、以‘智’助管、以‘智’助育”六大核心应用场景，结合初中生物学科教学实际，明确AI赋能教研的操作规范与实施路径，旨在推动教育数字化转型，提升学科育人质量与教师专业发展水平。</w:t>
      </w:r>
    </w:p>
    <w:p w14:paraId="498C4B6C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二、核心理念</w:t>
      </w:r>
    </w:p>
    <w:p w14:paraId="0CBF51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以人为本，赋能于人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：以学生成长为中心，以教师专业为主体，以情感联结为根基。技术服务于人的全面发展，保护人的能动性，尊重基本权益，尤其关注对弱势学生的赋能，促进教育公平。</w:t>
      </w:r>
    </w:p>
    <w:p w14:paraId="406568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守正创新，育人为本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：以学科本质为坚守，以技术赋能为路径，以智赋能增效为目标。技术应用不能否定教育的本源（如人际交往、创造性思维），而应服务于提质增效。</w:t>
      </w:r>
    </w:p>
    <w:p w14:paraId="35BB41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人机协同，师为主导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以教师设计为主导，以AI执行为辅助，以责任共担为保障。人工智能的深度渗透正在形成“师—生—机”三元结构的新型教学关系。教师：从“知识传授者”转变为“学习引领者”和“数据驱动者”，作为育人目标的主导者。学生：成为个性化学习的中心与主动建构者。机器：作为教育过程的赋能者，延伸师生能力。</w:t>
      </w:r>
    </w:p>
    <w:p w14:paraId="3382B698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三、AI应用边界</w:t>
      </w:r>
    </w:p>
    <w:p w14:paraId="40E025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可行领域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E257B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资源整合与素材生成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学情诊断与分层推送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即时反馈与数据采集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过程记录与档案留存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智能循证教研与教师专业发展支持</w:t>
      </w:r>
    </w:p>
    <w:p w14:paraId="08B29E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应用禁区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EE1F5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替代教师专业判断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取代师生情感交流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忽视学生隐私保护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违规使用敏感数据采集、存储与传播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削弱学生高阶思维能力（如批判性思维、创新性思维）培养</w:t>
      </w:r>
    </w:p>
    <w:p w14:paraId="112C2303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四、核心使用场景及应用策略</w:t>
      </w:r>
    </w:p>
    <w:p w14:paraId="525E488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jc w:val="left"/>
        <w:textAlignment w:val="baseline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（一）备课场景</w:t>
      </w:r>
    </w:p>
    <w:p w14:paraId="5F56B3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具体策略</w:t>
      </w:r>
    </w:p>
    <w:p w14:paraId="04BD9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智能资源整合与生成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：输入单元主题，AI快速筛选多模态素材（高清图片、3D模型、实验视频、科学史资料），自动生成分层任务与学情分析报告，提高备课针对性。</w:t>
      </w:r>
    </w:p>
    <w:p w14:paraId="5854F7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【案例】在《血液循环》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课时，向DeepSeek输入“肺循环+体循环、七年级、角色扮演、红细胞快递员”等关键词，AI筛选出心脏3D模型、血液循环动态图等素材，生成了“红细胞求职记”5段分镜脚本框架。</w:t>
      </w:r>
    </w:p>
    <w:p w14:paraId="135A2A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教学内容生成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：通过智能技术解析教学目标、学情及教学场景等信息，自动创建教学资源，如试题、教案、课件、图片、动画、视频等，减轻备课负担。</w:t>
      </w:r>
    </w:p>
    <w:p w14:paraId="178CAB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【案例】在《糖尿病的检测与预防》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时，利用AI生成了“问糖症之象→验高糖之尿→探降糖之谜→寻控糖之策”的完整问题链与活动链。</w:t>
      </w:r>
    </w:p>
    <w:p w14:paraId="55698F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强化实验与观察设计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：AI辅助设计虚拟实验、模拟观察任务，帮助学生在情境中构建生物学概念。</w:t>
      </w:r>
    </w:p>
    <w:p w14:paraId="69F36F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【案例】借助PHET模拟实验官网和AI生成的可视化3D模型，呈现神经元细胞静息和兴奋状态时相关电位的形成机制。</w:t>
      </w:r>
    </w:p>
    <w:p w14:paraId="77E586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潜在风险</w:t>
      </w:r>
    </w:p>
    <w:p w14:paraId="11102C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内容同质化：生成素材多为通用模板，缺乏校本化、情境化适配。</w:t>
      </w:r>
    </w:p>
    <w:p w14:paraId="319938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能力弱化风险：过度依赖AI，削弱教师教材解读与教学设计能力。</w:t>
      </w:r>
    </w:p>
    <w:p w14:paraId="69EA24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隐私与质量隐患：不当上传学生数据或生成内容存在科学错误。</w:t>
      </w:r>
    </w:p>
    <w:p w14:paraId="7559A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防范措施</w:t>
      </w:r>
    </w:p>
    <w:p w14:paraId="6DDEF8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坚守主导权：教师对AI生成内容进行二次审核与个性化调整，严禁直接套用。</w:t>
      </w:r>
    </w:p>
    <w:p w14:paraId="37ADE3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规范数据使用：选用合规工具，不上传敏感数据，严守隐私与安全红线。</w:t>
      </w:r>
    </w:p>
    <w:p w14:paraId="3BC506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深化专业能力：开展专项教研，提升教师科学素养、实验设计和素材甄别能力。</w:t>
      </w:r>
    </w:p>
    <w:p w14:paraId="48F4A44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jc w:val="left"/>
        <w:textAlignment w:val="baseline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（二）课堂教学场景</w:t>
      </w:r>
    </w:p>
    <w:p w14:paraId="57EA3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具体策略</w:t>
      </w:r>
    </w:p>
    <w:p w14:paraId="1ECA68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助力概念可视化与探究学习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：利用AI生成动态可视化模型，帮助学生理解抽象生物学概念；通过智能交互工具支持学生自主探究。</w:t>
      </w:r>
    </w:p>
    <w:p w14:paraId="59AE16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【案例】用DeepSeek生成分镜脚本，即梦生成动画角色，剪映剪辑配音，制成《红细胞求职记》系列动画，将抽象血流路径故事化。</w:t>
      </w:r>
    </w:p>
    <w:p w14:paraId="12C59A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落实分层教学与个性化支持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：采集答题互动与实验操作数据，实时研判学情，为不同层次学生推送差异化学习内容。</w:t>
      </w:r>
    </w:p>
    <w:p w14:paraId="34B85F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【案例】在“生物圈的水循环”课堂中，借助AI生成的网页版动态模型，支持学生自主调节参数（森林覆盖率、降水量），观察不同情境下的水循环变化，实现差异化探究。</w:t>
      </w:r>
    </w:p>
    <w:p w14:paraId="12632C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优化即时反馈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：AI辅助批改课堂练习，统计共性错误，教师聚焦重难点精讲，提升课堂效率。</w:t>
      </w:r>
    </w:p>
    <w:p w14:paraId="19C178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【案例】在展示环节利用班级优化大师记录得分，针对共性问题调出AI视频回放强化。</w:t>
      </w:r>
    </w:p>
    <w:p w14:paraId="00CF0A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潜在风险</w:t>
      </w:r>
    </w:p>
    <w:p w14:paraId="5CA47C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思维能力下降：长期使用后高阶思维能力退化，学习独立性下降。</w:t>
      </w:r>
    </w:p>
    <w:p w14:paraId="76DDFB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存在科学错误：AI个性化答疑内容存在科学性错误，误导学生。</w:t>
      </w:r>
    </w:p>
    <w:p w14:paraId="3AD17A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互动流于形式：缺乏真实实验探究，减少师生互动与情感交流。</w:t>
      </w:r>
    </w:p>
    <w:p w14:paraId="60982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设备与学情兼顾难：设备卡顿打乱课堂节奏，AI难捕捉学生情绪状态。</w:t>
      </w:r>
    </w:p>
    <w:p w14:paraId="2FA8B6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防范措施</w:t>
      </w:r>
    </w:p>
    <w:p w14:paraId="2D369F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强化实验教学：严禁让学生用AI生成内容替代真实操作。</w:t>
      </w:r>
    </w:p>
    <w:p w14:paraId="4618A3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建立校验机制：教师课前预设问题，核对AI答疑内容的科学性。</w:t>
      </w:r>
    </w:p>
    <w:p w14:paraId="10AAFC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规范场景应用：结合课型合理使用，提前调试设备。</w:t>
      </w:r>
    </w:p>
    <w:p w14:paraId="3BD87F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筑牢数据安全：禁用敏感采集方式，保护学生隐私。</w:t>
      </w:r>
    </w:p>
    <w:p w14:paraId="6297AC8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jc w:val="left"/>
        <w:textAlignment w:val="baseline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（三）作业设计场景</w:t>
      </w:r>
    </w:p>
    <w:p w14:paraId="4B910A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具体策略</w:t>
      </w:r>
    </w:p>
    <w:p w14:paraId="20D928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智能分层作业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：结合单元重难点与学情数据，自动生成基础、提升、拓展三类作业。</w:t>
      </w:r>
    </w:p>
    <w:p w14:paraId="5C0DA0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【案例】向DeepSeek输入“血液循环、动脉血和静脉血判断、难度分层”，AI生成A层（画路径图）、B层（分析血液变化）、C层（分析“火箭心”人工心脏案例）三类作业。</w:t>
      </w:r>
    </w:p>
    <w:p w14:paraId="53302A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多模态作业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：生成虚拟实验报告、生态观察日记、生物学小报等多元作业，强化科学探究与表达能力。</w:t>
      </w:r>
    </w:p>
    <w:p w14:paraId="4E8434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【案例】利用AI生成“一滴水的环球旅行”连环画创作模板、“校园植物蒸腾作用观察记录表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生态保护倡议书”写作框架等多元作业形式。</w:t>
      </w:r>
    </w:p>
    <w:p w14:paraId="6314EC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高效反馈批改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：通过智能技术自动批改学生作业，提供评分、评语、反馈和建议。</w:t>
      </w:r>
    </w:p>
    <w:p w14:paraId="15D7BC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案例】学生完成“反射弧路径填空”后，AI自动批改客观题；对于“分析缩手反射与望梅止渴反射的区别”简答题，AI标注“建议补充：前者是非条件反射，神经中枢在脊髓；后者是条件反射，神经中枢在大脑皮层”，供教师参考评分。</w:t>
      </w:r>
    </w:p>
    <w:p w14:paraId="5FCB1F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潜在风险</w:t>
      </w:r>
    </w:p>
    <w:p w14:paraId="01F241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内容适配性不足：作业设计浅表化、程式化，背离核心素养要求。</w:t>
      </w:r>
    </w:p>
    <w:p w14:paraId="54F0DC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反馈缺乏温度：标准化反馈难以提供个性化指导。</w:t>
      </w:r>
    </w:p>
    <w:p w14:paraId="2F5A69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作业同质化：缺乏班级情境与学生知识短板针对性。</w:t>
      </w:r>
    </w:p>
    <w:p w14:paraId="4DD1EB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防范措施</w:t>
      </w:r>
    </w:p>
    <w:p w14:paraId="4D9135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严把审核关：教师必须筛选、修改，审核作业内容。</w:t>
      </w:r>
    </w:p>
    <w:p w14:paraId="2A043A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优化个性化设计：结合教材话题与学生学情，进行情境化、本土化改编。</w:t>
      </w:r>
    </w:p>
    <w:p w14:paraId="3EF030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构建协同反馈：AI负责客观批改，教师主导主观题评价与个性化指导。</w:t>
      </w:r>
    </w:p>
    <w:p w14:paraId="1440105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jc w:val="left"/>
        <w:textAlignment w:val="baseline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（四）命题设计场景</w:t>
      </w:r>
    </w:p>
    <w:p w14:paraId="0BC9A6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具体策略</w:t>
      </w:r>
    </w:p>
    <w:p w14:paraId="03A5A6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题库建设与试题生成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：依托AI工具，结合课标与教材知识点，快速构建题库，支持跨学科融合命题。</w:t>
      </w:r>
    </w:p>
    <w:p w14:paraId="43DD3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【案例】向DeepSeek输入“七年级、水循环、蒸腾作用、难度系数0.75”，AI生成10道选择题和3道读图填空题。教师将原题改为“玉兰树下比雨棚下更凉快，请结合蒸腾作用原理解释”，贴近学校真实情境。</w:t>
      </w:r>
    </w:p>
    <w:p w14:paraId="4902DF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难度与区分度调控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：输入难度系数、知识点范围，优化试题梯度与题型配比。</w:t>
      </w:r>
    </w:p>
    <w:p w14:paraId="375746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【案例】老师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“体循环部分难度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0.8”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的指令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，AI建议将纯记忆题调整为“根据红细胞工作日记片段，补全血管名称并说明血液变化”的情境题，并自动生成拓展题“若主动脉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瓣膜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关闭不全，会对血液循环造成什么影响？”</w:t>
      </w:r>
    </w:p>
    <w:p w14:paraId="25D967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命题合规性审核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：AI辅助检测超纲、歧义、重复考点等问题，助力试题优化。</w:t>
      </w:r>
    </w:p>
    <w:p w14:paraId="78CDA1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【案例】在《人体代谢废物的排出》命题审核中，AI检测到某题“肾单位包括肾小球和肾小管”缺少“肾小囊”，提示概念表述不完整，教师及时补充。</w:t>
      </w:r>
    </w:p>
    <w:p w14:paraId="0AAE86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潜在风险</w:t>
      </w:r>
    </w:p>
    <w:p w14:paraId="5E277E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试题质量隐患：可能存在逻辑漏洞、表述不严谨，与素养导向不符。</w:t>
      </w:r>
    </w:p>
    <w:p w14:paraId="713881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命题同质化：过度依赖AI导致试题缺乏区域特色与创新意识。</w:t>
      </w:r>
    </w:p>
    <w:p w14:paraId="09B9C6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数据安全风险：命题内容未发布却上传公共平台，存在泄露风险。</w:t>
      </w:r>
    </w:p>
    <w:p w14:paraId="7BAF1F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防范措施</w:t>
      </w:r>
    </w:p>
    <w:p w14:paraId="4AA630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建立三级审核机制：“AI命题→教师打磨→教研组审核”，确保每道试题经人工校验。</w:t>
      </w:r>
    </w:p>
    <w:p w14:paraId="1E68E8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明确AI定位：核心题型由教师原创，避免过度依赖。</w:t>
      </w:r>
    </w:p>
    <w:p w14:paraId="741028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强化数据安全：选用合规工具，严禁将未发布命题上传公共平台。</w:t>
      </w:r>
    </w:p>
    <w:p w14:paraId="7B0953B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jc w:val="left"/>
        <w:textAlignment w:val="baseline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（五）实验教学与虚拟仿真场景</w:t>
      </w:r>
    </w:p>
    <w:p w14:paraId="08F956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具体策略</w:t>
      </w:r>
    </w:p>
    <w:p w14:paraId="589184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虚拟实验操作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：利用AI虚拟仿真平台，模拟高成本、高风险或周期长的实验，支持学生反复操作与探究。</w:t>
      </w:r>
    </w:p>
    <w:p w14:paraId="777670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【案例】在《人体代谢废物的排出》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备课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时，利用AI生成“肾小球滤过作用”模拟实验的交互脚本，将马尔皮基的经典实验转化为可拖拽操作的虚拟实验，学生可反复模拟血液过滤过程，直观理解“原尿”的形成机制。</w:t>
      </w:r>
    </w:p>
    <w:p w14:paraId="1B158F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实验过程智能指导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：AI实时识别学生实验操作步骤，提示规范操作与安全注意事项。</w:t>
      </w:r>
    </w:p>
    <w:p w14:paraId="0499EA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案例】在《糖尿病的检测与预防》分组实验环节，学生使用尿糖试纸检测模拟尿液样本时，AI摄像头识别学生操作步骤（如试纸浸入时间、比色卡对照角度），实时语音提示“请等待2秒后比色”“试纸边缘多余液体需用滤纸吸干”，有效减少操作失误。</w:t>
      </w:r>
    </w:p>
    <w:p w14:paraId="351E62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实验报告智能分析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：AI辅助批阅实验报告，识别数据分析、结论推导中的逻辑漏洞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提供改进建议。</w:t>
      </w:r>
    </w:p>
    <w:p w14:paraId="333F5B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案例】学生在完成“探究酸雨对种子萌发影响”实验后，AI自动批阅实验报告，识别出“未设置对照组”“数据平均值计算错误”等问题，并生成个性化改进建议：“建议增设清水对照组，重复实验3次以减少误差”。</w:t>
      </w:r>
    </w:p>
    <w:p w14:paraId="460E7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潜在风险</w:t>
      </w:r>
    </w:p>
    <w:p w14:paraId="394EBD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虚拟实验替代真实动手：过度依赖仿真，削弱真实实验操作能力。</w:t>
      </w:r>
    </w:p>
    <w:p w14:paraId="47D4A6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数据分析偏差：AI对实验现象识别不准确，可能误导学生判断。</w:t>
      </w:r>
    </w:p>
    <w:p w14:paraId="53AA87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设备依赖性强：学校硬件条件不足可能影响使用效果。</w:t>
      </w:r>
    </w:p>
    <w:p w14:paraId="44671E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防范措施</w:t>
      </w:r>
    </w:p>
    <w:p w14:paraId="28E4D2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虚实结合：虚拟仿真用于预习、拓展或替代性实验，真实实验仍需学生亲手操作。</w:t>
      </w:r>
    </w:p>
    <w:p w14:paraId="70D634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强化教师指导：AI仅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辅助提示，教师负责实验原理讲解与关键现象解读。</w:t>
      </w:r>
    </w:p>
    <w:p w14:paraId="63C8F8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保障基本实验条件：学校应确保基础实验设备可用，AI作为补充而非替代。</w:t>
      </w:r>
    </w:p>
    <w:p w14:paraId="15A9CE8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jc w:val="left"/>
        <w:textAlignment w:val="baseline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（六）学习评价场景</w:t>
      </w:r>
    </w:p>
    <w:p w14:paraId="21749E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具体策略</w:t>
      </w:r>
    </w:p>
    <w:p w14:paraId="4C5BDA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自动化批阅与数据采集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：快速批改客观题，生成学情数据与可视化报表，支持过程性数据整合。</w:t>
      </w:r>
    </w:p>
    <w:p w14:paraId="343038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【案例】在单元测试后使用在线平台发布选择题和读图填空题，AI自动批阅并生成班级正确率热力图，数据显示“气孔开闭调节蒸腾作用”一题错误率达45%，教师据此安排5分钟强化复习。</w:t>
      </w:r>
    </w:p>
    <w:p w14:paraId="740C68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辅助性评分与发展性诊断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：对实验报告、科学写作等主观题初评，标注错误与参考建议，由教师最终裁定。</w:t>
      </w:r>
    </w:p>
    <w:p w14:paraId="7B16F4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【案例】学生提交“酸雨对克氏原螯虾拉力影响”实验报告后，AI初步识别是否设置对照组、是否重复实验，并标注“建议补充原因分析”，教师结合实验创意和科学性给出最终评分。</w:t>
      </w:r>
    </w:p>
    <w:p w14:paraId="0C0AEA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全过程评价与综合素质画像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：整合过程性数据，构建个性化学习档案，支撑综合评价。</w:t>
      </w:r>
    </w:p>
    <w:p w14:paraId="445177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案例】在《红细胞求职记》课堂中，每组有“肺循环展示得分”“体循环展示得分”“对比表填空得分”“闯关总分”等过程性积分，教师录入班级优化大师，AI自动生成学生参与度、小组贡献度、知识掌握度的可视化报告。</w:t>
      </w:r>
    </w:p>
    <w:p w14:paraId="702493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潜在风险</w:t>
      </w:r>
    </w:p>
    <w:p w14:paraId="45AE1F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主观评价局限：无法判断科学探究能力、逻辑深度与创新意识。</w:t>
      </w:r>
    </w:p>
    <w:p w14:paraId="1F56B6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维度单一化：易陷入“唯分数论”，忽视质性表现与综合素养。</w:t>
      </w:r>
    </w:p>
    <w:p w14:paraId="120D6A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学生标签化：分层评价易给学生贴上“优劣”标签，挫伤积极性。</w:t>
      </w:r>
    </w:p>
    <w:p w14:paraId="5ED08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防范措施</w:t>
      </w:r>
    </w:p>
    <w:p w14:paraId="2C3370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坚守教师主导：教师掌握最终评分权，统一标准并校准AI逻辑。</w:t>
      </w:r>
    </w:p>
    <w:p w14:paraId="0CCC91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完善多元评价：结合实验观察、学生反思、同伴互评，实现全面评价。</w:t>
      </w:r>
    </w:p>
    <w:p w14:paraId="7AFA25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优化结果运用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匿名评价为主，以鼓励性、发展性评价为主，保护学生自尊。</w:t>
      </w:r>
    </w:p>
    <w:p w14:paraId="71FDB36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jc w:val="left"/>
        <w:textAlignment w:val="baseline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（七）教研场景</w:t>
      </w:r>
    </w:p>
    <w:p w14:paraId="2C563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具体策略</w:t>
      </w:r>
    </w:p>
    <w:p w14:paraId="58DCAF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智能循证教研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：AI辅助采集课堂教学数据，生成循证分析报告，支持教研组开展数据驱动的教学改进。</w:t>
      </w:r>
    </w:p>
    <w:p w14:paraId="244877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【案例】在《红细胞求职记》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校级研究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课后，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教研组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利用AI课堂分析系统生成循证报告：数据显示“角色扮演环节学生发言时长占比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%”“高阶思维提问（如‘为什么血液会变色’）共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次”“后排3名学生互动频次低于班级平均”。教研组据此研讨提出改进策略：增加走动式提问、为后排学生设计专项任务卡。</w:t>
      </w:r>
    </w:p>
    <w:p w14:paraId="519178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教师成长规划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：基于教师教学行为数据与专业发展需求，AI辅助生成个性化研修路径，推荐优质资源与典型案例。</w:t>
      </w:r>
    </w:p>
    <w:p w14:paraId="478303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【案例】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新入职老师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平台上传3节常态课录像后，AI分析指出“实验探究环节师生对话以短问答为主（平均时长8秒）”“追问频率偏低”，自动推荐“实验教学提问策略”研修课程及郑凌燕老师《观察叶片气孔》优秀课例片段，并生成6周成长规划（每周观看2个课例+完成1次教学反思）。</w:t>
      </w:r>
    </w:p>
    <w:p w14:paraId="016BFE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科研辅助分析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：AI辅助文献检索、研究趋势分析、教学成果梳理，助力教师开展教学研究。</w:t>
      </w:r>
    </w:p>
    <w:p w14:paraId="56BCCE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【案例】老师拟申报“初中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跨学科个性化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实验教学”课题，利用AI工具检索近五年相关文献，自动生成研究热点词云图（高频词：“虚拟仿真”“个性化反馈”“实验操作识别”），并推荐《基于AI的实验教学评价研究》等10篇期刊论文。</w:t>
      </w:r>
    </w:p>
    <w:p w14:paraId="1E547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潜在风险</w:t>
      </w:r>
    </w:p>
    <w:p w14:paraId="3E91C4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数据解读偏差：AI生成的分析报告可能存在误判。</w:t>
      </w:r>
    </w:p>
    <w:p w14:paraId="67D998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教研同质化：过度依赖AI建议可能导致教研活动缺乏创新。</w:t>
      </w:r>
    </w:p>
    <w:p w14:paraId="26157C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数据隐私风险：教师教学数据与学生数据需严格保护。</w:t>
      </w:r>
    </w:p>
    <w:p w14:paraId="0E9C5B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防范措施</w:t>
      </w:r>
    </w:p>
    <w:p w14:paraId="57713B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坚持教师主导：AI分析结果作为参考，教研活动设计由教师共同研讨决定。</w:t>
      </w:r>
    </w:p>
    <w:p w14:paraId="0BE597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丰富教研形式：结合AI分析与现场观课、同课异构、主题研讨等传统教研方式。</w:t>
      </w:r>
    </w:p>
    <w:p w14:paraId="22FB55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强化数据安全：选用合规平台，对数据进行脱敏处理，严格权限管理。</w:t>
      </w:r>
    </w:p>
    <w:p w14:paraId="6AA8B4F1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五、使用要求</w:t>
      </w:r>
    </w:p>
    <w:p w14:paraId="760578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强化规范执行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：全体教师须严格遵循AI应用边界与操作规范，坚守“教师主导、AI辅助”原则，杜绝过度依赖。</w:t>
      </w:r>
    </w:p>
    <w:p w14:paraId="500565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注重实操落地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：各教研组将本指南纳入常态化教研，开展培训与案例交流，结合校情灵活应用。</w:t>
      </w:r>
    </w:p>
    <w:p w14:paraId="3C63B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坚守育人初心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：以学生成长为首位，规范数据管理，重视情感交流与核心素养培育。</w:t>
      </w:r>
    </w:p>
    <w:p w14:paraId="27831E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坚持动态优化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：鼓励教师总结案例，结合蓝皮书更新与教学反馈，持续优化应用路径。</w:t>
      </w:r>
    </w:p>
    <w:p w14:paraId="42A8628D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六、结语</w:t>
      </w:r>
    </w:p>
    <w:p w14:paraId="3D699E40"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工智能是教育数字化转型的必然趋势，也是提升初中生物教育质量的重要引擎。《人工智能赋能基础教育应用蓝皮书》明确指出，技术应用必须服务于人的全面发展，服务于教育强国建设。本指南立足教育数字化发展方向，明确了AI赋能初中生物教研的理念、边界与路径。教师应坚守育人初心，深耕学科本质，善用智能工具，平衡技术应用与育人本质，构建“师—生—机”协同、高效优质的教学新生态，为培养具备科学素养、批判性思维、创新精神与社会责任感的时代新人贡献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44270"/>
    <w:rsid w:val="4EE4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paragraph" w:styleId="3">
    <w:name w:val="heading 3"/>
    <w:basedOn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2026-06-30T06:30:00Z</dcterms:created>
  <dc:creator>Cherish</dc:creator>
  <cp:lastModifiedBy>Cherish</cp:lastModifiedBy>
  <dcterms:modified xsi:type="dcterms:W3CDTF">2026-06-30T06:30:28Z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2C1ED6CA4F7A4FEDB6B0E0704049A16D_11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