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4918F">
      <w:pPr>
        <w:widowControl/>
        <w:spacing w:line="360" w:lineRule="auto"/>
        <w:jc w:val="center"/>
        <w:rPr>
          <w:rFonts w:hint="eastAsia" w:ascii="黑体" w:hAnsi="ˎ̥" w:eastAsia="黑体" w:cs="宋体"/>
          <w:b/>
          <w:kern w:val="0"/>
          <w:sz w:val="36"/>
          <w:szCs w:val="36"/>
        </w:rPr>
      </w:pPr>
      <w:r>
        <w:rPr>
          <w:rFonts w:hint="eastAsia" w:ascii="黑体" w:hAnsi="ˎ̥" w:eastAsia="黑体" w:cs="宋体"/>
          <w:b/>
          <w:kern w:val="0"/>
          <w:sz w:val="36"/>
          <w:szCs w:val="36"/>
        </w:rPr>
        <w:tab/>
      </w:r>
    </w:p>
    <w:p w14:paraId="149B4387">
      <w:pPr>
        <w:widowControl/>
        <w:spacing w:line="360" w:lineRule="auto"/>
        <w:jc w:val="center"/>
        <w:rPr>
          <w:rFonts w:hint="eastAsia" w:ascii="黑体" w:hAnsi="ˎ̥" w:eastAsia="黑体" w:cs="宋体"/>
          <w:b/>
          <w:kern w:val="0"/>
          <w:sz w:val="36"/>
          <w:szCs w:val="36"/>
        </w:rPr>
      </w:pPr>
    </w:p>
    <w:p w14:paraId="0DB424EB">
      <w:pPr>
        <w:widowControl/>
        <w:spacing w:line="360" w:lineRule="auto"/>
        <w:jc w:val="center"/>
        <w:rPr>
          <w:rFonts w:hint="eastAsia" w:ascii="黑体" w:hAnsi="ˎ̥" w:eastAsia="黑体" w:cs="宋体"/>
          <w:b/>
          <w:kern w:val="0"/>
          <w:sz w:val="48"/>
          <w:szCs w:val="48"/>
        </w:rPr>
      </w:pPr>
      <w:r>
        <w:rPr>
          <w:rFonts w:hint="eastAsia" w:ascii="黑体" w:hAnsi="ˎ̥" w:eastAsia="黑体" w:cs="宋体"/>
          <w:b/>
          <w:kern w:val="0"/>
          <w:sz w:val="48"/>
          <w:szCs w:val="48"/>
        </w:rPr>
        <w:t>常州市三河口小学教师个人小课题</w:t>
      </w:r>
    </w:p>
    <w:p w14:paraId="4CAEDF66">
      <w:pPr>
        <w:widowControl/>
        <w:spacing w:line="360" w:lineRule="auto"/>
        <w:jc w:val="center"/>
        <w:rPr>
          <w:rFonts w:ascii="ˎ̥" w:hAnsi="ˎ̥" w:cs="宋体"/>
          <w:kern w:val="0"/>
          <w:sz w:val="18"/>
          <w:szCs w:val="18"/>
        </w:rPr>
      </w:pPr>
      <w:r>
        <w:rPr>
          <w:rFonts w:ascii="ˎ̥" w:hAnsi="ˎ̥" w:cs="宋体"/>
          <w:kern w:val="0"/>
          <w:sz w:val="18"/>
          <w:szCs w:val="18"/>
        </w:rPr>
        <w:t> </w:t>
      </w:r>
    </w:p>
    <w:p w14:paraId="40D3C864">
      <w:pPr>
        <w:widowControl/>
        <w:spacing w:line="360" w:lineRule="auto"/>
        <w:jc w:val="center"/>
        <w:rPr>
          <w:rFonts w:hint="eastAsia" w:ascii="ˎ̥" w:hAnsi="ˎ̥" w:cs="宋体"/>
          <w:b/>
          <w:bCs/>
          <w:kern w:val="0"/>
          <w:sz w:val="18"/>
          <w:szCs w:val="18"/>
        </w:rPr>
      </w:pPr>
    </w:p>
    <w:p w14:paraId="1607145B">
      <w:pPr>
        <w:widowControl/>
        <w:spacing w:line="360" w:lineRule="auto"/>
        <w:jc w:val="center"/>
        <w:rPr>
          <w:rFonts w:ascii="ˎ̥" w:hAnsi="ˎ̥" w:cs="宋体"/>
          <w:b/>
          <w:kern w:val="0"/>
          <w:sz w:val="44"/>
          <w:szCs w:val="44"/>
        </w:rPr>
      </w:pPr>
      <w:r>
        <w:rPr>
          <w:rFonts w:ascii="ˎ̥" w:hAnsi="ˎ̥" w:cs="宋体"/>
          <w:b/>
          <w:bCs/>
          <w:kern w:val="0"/>
          <w:sz w:val="44"/>
          <w:szCs w:val="44"/>
        </w:rPr>
        <w:t>研究工作手册</w:t>
      </w:r>
    </w:p>
    <w:p w14:paraId="2E342E69">
      <w:pPr>
        <w:widowControl/>
        <w:spacing w:line="360" w:lineRule="auto"/>
        <w:jc w:val="center"/>
        <w:rPr>
          <w:rFonts w:ascii="ˎ̥" w:hAnsi="ˎ̥" w:cs="宋体"/>
          <w:kern w:val="0"/>
          <w:sz w:val="36"/>
          <w:szCs w:val="36"/>
        </w:rPr>
      </w:pPr>
      <w:r>
        <w:rPr>
          <w:rFonts w:ascii="ˎ̥" w:hAnsi="ˎ̥" w:cs="宋体"/>
          <w:kern w:val="0"/>
          <w:sz w:val="36"/>
          <w:szCs w:val="36"/>
        </w:rPr>
        <w:t> </w:t>
      </w:r>
    </w:p>
    <w:p w14:paraId="0770B3C7">
      <w:pPr>
        <w:widowControl/>
        <w:spacing w:line="360" w:lineRule="auto"/>
        <w:jc w:val="center"/>
        <w:rPr>
          <w:rFonts w:ascii="ˎ̥" w:hAnsi="ˎ̥" w:cs="宋体"/>
          <w:kern w:val="0"/>
          <w:sz w:val="18"/>
          <w:szCs w:val="18"/>
        </w:rPr>
      </w:pPr>
      <w:r>
        <w:rPr>
          <w:rFonts w:ascii="ˎ̥" w:hAnsi="ˎ̥" w:cs="宋体"/>
          <w:kern w:val="0"/>
          <w:sz w:val="18"/>
          <w:szCs w:val="18"/>
        </w:rPr>
        <w:t> </w:t>
      </w:r>
    </w:p>
    <w:p w14:paraId="7D248430">
      <w:pPr>
        <w:widowControl/>
        <w:spacing w:line="360" w:lineRule="auto"/>
        <w:jc w:val="left"/>
        <w:rPr>
          <w:rFonts w:ascii="ˎ̥" w:hAnsi="ˎ̥" w:cs="宋体"/>
          <w:kern w:val="0"/>
          <w:sz w:val="18"/>
          <w:szCs w:val="18"/>
        </w:rPr>
      </w:pPr>
      <w:r>
        <w:rPr>
          <w:rFonts w:ascii="ˎ̥" w:hAnsi="ˎ̥" w:cs="宋体"/>
          <w:kern w:val="0"/>
          <w:sz w:val="18"/>
          <w:szCs w:val="18"/>
        </w:rPr>
        <w:t> </w:t>
      </w:r>
    </w:p>
    <w:p w14:paraId="50C588D9">
      <w:pPr>
        <w:widowControl/>
        <w:spacing w:line="360" w:lineRule="auto"/>
        <w:jc w:val="left"/>
        <w:rPr>
          <w:rFonts w:ascii="ˎ̥" w:hAnsi="ˎ̥" w:cs="宋体"/>
          <w:kern w:val="0"/>
          <w:sz w:val="18"/>
          <w:szCs w:val="18"/>
        </w:rPr>
      </w:pPr>
      <w:r>
        <w:rPr>
          <w:rFonts w:ascii="ˎ̥" w:hAnsi="ˎ̥" w:cs="宋体"/>
          <w:kern w:val="0"/>
          <w:sz w:val="18"/>
          <w:szCs w:val="18"/>
        </w:rPr>
        <w:t> </w:t>
      </w:r>
    </w:p>
    <w:p w14:paraId="0B9CDA13">
      <w:pPr>
        <w:widowControl/>
        <w:spacing w:line="360" w:lineRule="auto"/>
        <w:jc w:val="left"/>
        <w:rPr>
          <w:rFonts w:ascii="ˎ̥" w:hAnsi="ˎ̥" w:cs="宋体"/>
          <w:kern w:val="0"/>
          <w:sz w:val="18"/>
          <w:szCs w:val="18"/>
        </w:rPr>
      </w:pPr>
      <w:r>
        <w:rPr>
          <w:rFonts w:ascii="ˎ̥" w:hAnsi="ˎ̥" w:cs="宋体"/>
          <w:kern w:val="0"/>
          <w:sz w:val="18"/>
          <w:szCs w:val="18"/>
        </w:rPr>
        <w:t> </w:t>
      </w:r>
    </w:p>
    <w:p w14:paraId="0D854BF4">
      <w:pPr>
        <w:widowControl/>
        <w:spacing w:line="360" w:lineRule="auto"/>
        <w:jc w:val="left"/>
        <w:rPr>
          <w:rFonts w:ascii="ˎ̥" w:hAnsi="ˎ̥" w:cs="宋体"/>
          <w:kern w:val="0"/>
          <w:sz w:val="32"/>
          <w:szCs w:val="32"/>
        </w:rPr>
      </w:pPr>
      <w:r>
        <w:rPr>
          <w:rFonts w:ascii="ˎ̥" w:hAnsi="ˎ̥" w:cs="宋体"/>
          <w:kern w:val="0"/>
          <w:sz w:val="18"/>
          <w:szCs w:val="18"/>
        </w:rPr>
        <w:t> </w:t>
      </w:r>
    </w:p>
    <w:p w14:paraId="3A721DA8">
      <w:pPr>
        <w:widowControl/>
        <w:spacing w:line="360" w:lineRule="auto"/>
        <w:ind w:firstLine="1802" w:firstLineChars="500"/>
        <w:jc w:val="both"/>
        <w:rPr>
          <w:rFonts w:hint="default" w:ascii="ˎ̥" w:hAnsi="ˎ̥" w:eastAsia="宋体" w:cs="宋体"/>
          <w:kern w:val="0"/>
          <w:sz w:val="36"/>
          <w:szCs w:val="36"/>
          <w:u w:val="single"/>
          <w:lang w:val="en-US" w:eastAsia="zh-CN"/>
        </w:rPr>
      </w:pPr>
      <w:r>
        <w:rPr>
          <w:rFonts w:ascii="ˎ̥" w:hAnsi="ˎ̥" w:cs="宋体"/>
          <w:b/>
          <w:bCs/>
          <w:kern w:val="0"/>
          <w:sz w:val="36"/>
          <w:szCs w:val="36"/>
        </w:rPr>
        <w:t>姓 </w:t>
      </w:r>
      <w:r>
        <w:rPr>
          <w:rFonts w:hint="eastAsia" w:ascii="ˎ̥" w:hAnsi="ˎ̥" w:cs="宋体"/>
          <w:b/>
          <w:bCs/>
          <w:kern w:val="0"/>
          <w:sz w:val="36"/>
          <w:szCs w:val="36"/>
        </w:rPr>
        <w:t xml:space="preserve">      </w:t>
      </w:r>
      <w:r>
        <w:rPr>
          <w:rFonts w:ascii="ˎ̥" w:hAnsi="ˎ̥" w:cs="宋体"/>
          <w:b/>
          <w:bCs/>
          <w:kern w:val="0"/>
          <w:sz w:val="36"/>
          <w:szCs w:val="36"/>
        </w:rPr>
        <w:t>名</w:t>
      </w:r>
      <w:r>
        <w:rPr>
          <w:rFonts w:hint="eastAsia" w:ascii="ˎ̥" w:hAnsi="ˎ̥" w:cs="宋体"/>
          <w:b/>
          <w:bCs/>
          <w:kern w:val="0"/>
          <w:sz w:val="36"/>
          <w:szCs w:val="36"/>
          <w:u w:val="single"/>
          <w:lang w:val="en-US" w:eastAsia="zh-CN"/>
        </w:rPr>
        <w:t xml:space="preserve">        周婷婷       </w:t>
      </w:r>
    </w:p>
    <w:p w14:paraId="3F3D9E0D">
      <w:pPr>
        <w:widowControl/>
        <w:spacing w:line="360" w:lineRule="auto"/>
        <w:jc w:val="center"/>
        <w:rPr>
          <w:rFonts w:ascii="ˎ̥" w:hAnsi="ˎ̥" w:cs="宋体"/>
          <w:kern w:val="0"/>
          <w:sz w:val="36"/>
          <w:szCs w:val="36"/>
        </w:rPr>
      </w:pPr>
    </w:p>
    <w:p w14:paraId="23FCF787">
      <w:pPr>
        <w:widowControl/>
        <w:spacing w:line="360" w:lineRule="auto"/>
        <w:ind w:firstLine="1802" w:firstLineChars="500"/>
        <w:jc w:val="both"/>
        <w:rPr>
          <w:rFonts w:hint="default" w:ascii="ˎ̥" w:hAnsi="ˎ̥" w:eastAsia="宋体" w:cs="宋体"/>
          <w:kern w:val="0"/>
          <w:sz w:val="36"/>
          <w:szCs w:val="36"/>
          <w:u w:val="single"/>
          <w:lang w:val="en-US" w:eastAsia="zh-CN"/>
        </w:rPr>
      </w:pPr>
      <w:r>
        <w:rPr>
          <w:rFonts w:ascii="ˎ̥" w:hAnsi="ˎ̥" w:cs="宋体"/>
          <w:b/>
          <w:bCs/>
          <w:kern w:val="0"/>
          <w:sz w:val="36"/>
          <w:szCs w:val="36"/>
        </w:rPr>
        <w:t>任教年级学科</w:t>
      </w:r>
      <w:r>
        <w:rPr>
          <w:rFonts w:hint="eastAsia" w:ascii="ˎ̥" w:hAnsi="ˎ̥" w:cs="宋体"/>
          <w:b/>
          <w:bCs/>
          <w:kern w:val="0"/>
          <w:sz w:val="36"/>
          <w:szCs w:val="36"/>
          <w:u w:val="single"/>
          <w:lang w:val="en-US" w:eastAsia="zh-CN"/>
        </w:rPr>
        <w:t xml:space="preserve">     二（语）     </w:t>
      </w:r>
    </w:p>
    <w:p w14:paraId="38BF8506">
      <w:pPr>
        <w:widowControl/>
        <w:spacing w:line="360" w:lineRule="auto"/>
        <w:jc w:val="left"/>
        <w:rPr>
          <w:rFonts w:ascii="ˎ̥" w:hAnsi="ˎ̥" w:cs="宋体"/>
          <w:kern w:val="0"/>
          <w:sz w:val="36"/>
          <w:szCs w:val="36"/>
        </w:rPr>
      </w:pPr>
      <w:r>
        <w:rPr>
          <w:rFonts w:ascii="ˎ̥" w:hAnsi="ˎ̥" w:cs="宋体"/>
          <w:kern w:val="0"/>
          <w:sz w:val="36"/>
          <w:szCs w:val="36"/>
        </w:rPr>
        <w:t> </w:t>
      </w:r>
    </w:p>
    <w:p w14:paraId="664F461D">
      <w:pPr>
        <w:widowControl/>
        <w:spacing w:line="360" w:lineRule="auto"/>
        <w:jc w:val="center"/>
        <w:rPr>
          <w:rFonts w:ascii="ˎ̥" w:hAnsi="ˎ̥" w:cs="宋体"/>
          <w:kern w:val="0"/>
          <w:sz w:val="36"/>
          <w:szCs w:val="36"/>
        </w:rPr>
      </w:pPr>
    </w:p>
    <w:p w14:paraId="3745D05A">
      <w:pPr>
        <w:widowControl/>
        <w:spacing w:line="360" w:lineRule="auto"/>
        <w:jc w:val="left"/>
        <w:rPr>
          <w:rFonts w:ascii="ˎ̥" w:hAnsi="ˎ̥" w:cs="宋体"/>
          <w:kern w:val="0"/>
          <w:sz w:val="36"/>
          <w:szCs w:val="36"/>
        </w:rPr>
      </w:pPr>
      <w:r>
        <w:rPr>
          <w:rFonts w:ascii="ˎ̥" w:hAnsi="ˎ̥" w:cs="宋体"/>
          <w:kern w:val="0"/>
          <w:sz w:val="36"/>
          <w:szCs w:val="36"/>
        </w:rPr>
        <w:t> </w:t>
      </w:r>
    </w:p>
    <w:p w14:paraId="66D84FB5">
      <w:pPr>
        <w:widowControl/>
        <w:spacing w:line="360" w:lineRule="auto"/>
        <w:jc w:val="center"/>
        <w:rPr>
          <w:rFonts w:hint="eastAsia" w:ascii="ˎ̥" w:hAnsi="ˎ̥" w:cs="宋体"/>
          <w:b/>
          <w:bCs/>
          <w:kern w:val="0"/>
          <w:sz w:val="28"/>
          <w:szCs w:val="28"/>
        </w:rPr>
      </w:pPr>
      <w:r>
        <w:rPr>
          <w:rFonts w:ascii="ˎ̥" w:hAnsi="ˎ̥" w:cs="宋体"/>
          <w:b/>
          <w:bCs/>
          <w:kern w:val="0"/>
          <w:sz w:val="36"/>
          <w:szCs w:val="36"/>
        </w:rPr>
        <w:t xml:space="preserve">  </w:t>
      </w:r>
      <w:r>
        <w:rPr>
          <w:rFonts w:hint="eastAsia" w:ascii="ˎ̥" w:hAnsi="ˎ̥" w:cs="宋体"/>
          <w:b/>
          <w:bCs/>
          <w:kern w:val="0"/>
          <w:sz w:val="36"/>
          <w:szCs w:val="36"/>
        </w:rPr>
        <w:t xml:space="preserve"> </w:t>
      </w:r>
      <w:r>
        <w:rPr>
          <w:rFonts w:ascii="ˎ̥" w:hAnsi="ˎ̥" w:cs="宋体"/>
          <w:b/>
          <w:bCs/>
          <w:kern w:val="0"/>
          <w:sz w:val="36"/>
          <w:szCs w:val="36"/>
        </w:rPr>
        <w:t>（</w:t>
      </w:r>
      <w:r>
        <w:rPr>
          <w:rFonts w:hint="eastAsia" w:ascii="ˎ̥" w:hAnsi="ˎ̥" w:cs="宋体"/>
          <w:b/>
          <w:bCs/>
          <w:kern w:val="0"/>
          <w:sz w:val="36"/>
          <w:szCs w:val="36"/>
          <w:lang w:val="en-US" w:eastAsia="zh-CN"/>
        </w:rPr>
        <w:t>2026</w:t>
      </w:r>
      <w:r>
        <w:rPr>
          <w:rFonts w:ascii="ˎ̥" w:hAnsi="ˎ̥" w:cs="宋体"/>
          <w:b/>
          <w:bCs/>
          <w:kern w:val="0"/>
          <w:sz w:val="36"/>
          <w:szCs w:val="36"/>
        </w:rPr>
        <w:t>年</w:t>
      </w:r>
      <w:r>
        <w:rPr>
          <w:rFonts w:hint="eastAsia" w:ascii="ˎ̥" w:hAnsi="ˎ̥" w:cs="宋体"/>
          <w:b/>
          <w:bCs/>
          <w:kern w:val="0"/>
          <w:sz w:val="36"/>
          <w:szCs w:val="36"/>
        </w:rPr>
        <w:t xml:space="preserve"> </w:t>
      </w:r>
      <w:r>
        <w:rPr>
          <w:rFonts w:hint="eastAsia" w:ascii="ˎ̥" w:hAnsi="ˎ̥" w:cs="宋体"/>
          <w:b/>
          <w:bCs/>
          <w:kern w:val="0"/>
          <w:sz w:val="36"/>
          <w:szCs w:val="36"/>
          <w:lang w:val="en-US" w:eastAsia="zh-CN"/>
        </w:rPr>
        <w:t>3</w:t>
      </w:r>
      <w:r>
        <w:rPr>
          <w:rFonts w:hint="eastAsia" w:ascii="ˎ̥" w:hAnsi="ˎ̥" w:cs="宋体"/>
          <w:b/>
          <w:bCs/>
          <w:kern w:val="0"/>
          <w:sz w:val="36"/>
          <w:szCs w:val="36"/>
        </w:rPr>
        <w:t xml:space="preserve"> </w:t>
      </w:r>
      <w:r>
        <w:rPr>
          <w:rFonts w:ascii="ˎ̥" w:hAnsi="ˎ̥" w:cs="宋体"/>
          <w:b/>
          <w:bCs/>
          <w:kern w:val="0"/>
          <w:sz w:val="36"/>
          <w:szCs w:val="36"/>
        </w:rPr>
        <w:t>月——</w:t>
      </w:r>
      <w:r>
        <w:rPr>
          <w:rFonts w:hint="eastAsia" w:ascii="ˎ̥" w:hAnsi="ˎ̥" w:cs="宋体"/>
          <w:b/>
          <w:bCs/>
          <w:kern w:val="0"/>
          <w:sz w:val="36"/>
          <w:szCs w:val="36"/>
          <w:lang w:val="en-US" w:eastAsia="zh-CN"/>
        </w:rPr>
        <w:t>2026</w:t>
      </w:r>
      <w:r>
        <w:rPr>
          <w:rFonts w:ascii="ˎ̥" w:hAnsi="ˎ̥" w:cs="宋体"/>
          <w:b/>
          <w:bCs/>
          <w:kern w:val="0"/>
          <w:sz w:val="36"/>
          <w:szCs w:val="36"/>
        </w:rPr>
        <w:t>年</w:t>
      </w:r>
      <w:r>
        <w:rPr>
          <w:rFonts w:hint="eastAsia" w:ascii="ˎ̥" w:hAnsi="ˎ̥" w:cs="宋体"/>
          <w:b/>
          <w:bCs/>
          <w:kern w:val="0"/>
          <w:sz w:val="36"/>
          <w:szCs w:val="36"/>
        </w:rPr>
        <w:t xml:space="preserve"> </w:t>
      </w:r>
      <w:r>
        <w:rPr>
          <w:rFonts w:hint="eastAsia" w:ascii="ˎ̥" w:hAnsi="ˎ̥" w:cs="宋体"/>
          <w:b/>
          <w:bCs/>
          <w:kern w:val="0"/>
          <w:sz w:val="36"/>
          <w:szCs w:val="36"/>
          <w:lang w:val="en-US" w:eastAsia="zh-CN"/>
        </w:rPr>
        <w:t xml:space="preserve">6 </w:t>
      </w:r>
      <w:r>
        <w:rPr>
          <w:rFonts w:ascii="ˎ̥" w:hAnsi="ˎ̥" w:cs="宋体"/>
          <w:b/>
          <w:bCs/>
          <w:kern w:val="0"/>
          <w:sz w:val="36"/>
          <w:szCs w:val="36"/>
        </w:rPr>
        <w:t>月）</w:t>
      </w:r>
    </w:p>
    <w:p w14:paraId="783DB073">
      <w:pPr>
        <w:widowControl/>
        <w:spacing w:line="360" w:lineRule="auto"/>
        <w:rPr>
          <w:rFonts w:hint="default" w:ascii="ˎ̥" w:hAnsi="ˎ̥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ˎ̥" w:hAnsi="ˎ̥" w:cs="宋体"/>
          <w:b/>
          <w:bCs/>
          <w:kern w:val="0"/>
          <w:sz w:val="28"/>
          <w:szCs w:val="28"/>
          <w:lang w:val="en-US" w:eastAsia="zh-CN"/>
        </w:rPr>
        <w:t>课题名称：</w:t>
      </w:r>
      <w:r>
        <w:rPr>
          <w:rFonts w:hint="eastAsia"/>
          <w:b/>
          <w:sz w:val="32"/>
          <w:szCs w:val="32"/>
        </w:rPr>
        <w:t>《</w:t>
      </w:r>
      <w:r>
        <w:rPr>
          <w:rFonts w:hint="eastAsia" w:ascii="ˎ̥" w:hAnsi="ˎ̥" w:eastAsia="宋体" w:cs="宋体"/>
          <w:b/>
          <w:bCs/>
          <w:kern w:val="0"/>
          <w:sz w:val="28"/>
          <w:szCs w:val="28"/>
          <w:lang w:val="en-US" w:eastAsia="zh-CN"/>
        </w:rPr>
        <w:t>“双减”政策下趣味教学法在小学语文低年级识字教学中的应用研究》</w:t>
      </w:r>
    </w:p>
    <w:p w14:paraId="61FA14D2">
      <w:pPr>
        <w:widowControl/>
        <w:spacing w:line="360" w:lineRule="auto"/>
        <w:rPr>
          <w:rFonts w:hint="eastAsia" w:ascii="ˎ̥" w:hAnsi="ˎ̥" w:cs="宋体"/>
          <w:b/>
          <w:bCs/>
          <w:kern w:val="0"/>
          <w:sz w:val="28"/>
          <w:szCs w:val="28"/>
        </w:rPr>
      </w:pPr>
      <w:r>
        <w:rPr>
          <w:rFonts w:hint="eastAsia" w:ascii="ˎ̥" w:hAnsi="ˎ̥" w:cs="宋体"/>
          <w:b/>
          <w:bCs/>
          <w:kern w:val="0"/>
          <w:sz w:val="28"/>
          <w:szCs w:val="28"/>
        </w:rPr>
        <w:t>课题研究过程：</w:t>
      </w:r>
    </w:p>
    <w:p w14:paraId="5E89B6AC">
      <w:pPr>
        <w:spacing w:line="480" w:lineRule="exac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【</w:t>
      </w:r>
      <w:r>
        <w:rPr>
          <w:rFonts w:hint="eastAsia" w:ascii="黑体" w:eastAsia="黑体"/>
          <w:b/>
          <w:sz w:val="32"/>
          <w:szCs w:val="32"/>
        </w:rPr>
        <w:t>文献研究</w:t>
      </w:r>
      <w:r>
        <w:rPr>
          <w:rFonts w:hint="eastAsia"/>
          <w:b/>
          <w:sz w:val="32"/>
          <w:szCs w:val="32"/>
        </w:rPr>
        <w:t>】</w:t>
      </w:r>
    </w:p>
    <w:p w14:paraId="765DD91B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《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小学语文低年级趣味识字教学方法的实践探索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》（3月）</w:t>
      </w:r>
    </w:p>
    <w:p w14:paraId="357BA046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摘要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本文以人教版小学语文教材为基础，探究低年级趣味识字教学实施路径。文章先论述趣味识字贴合低段学生认知特点、激发学习主动性、培育语文综合素养三大价值；再提出字理溯源、游戏教学、情境创设、阅读浸润四项实操教学策略。研究证实趣味识字可改变机械灌输式识字模式，提升识字课堂质量，为低年级识字教学提供实践参考。</w:t>
      </w:r>
    </w:p>
    <w:p w14:paraId="400C89E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关键词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小学语文；低年级；趣味识字；教学方法</w:t>
      </w:r>
    </w:p>
    <w:p w14:paraId="609AB08D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一、小学语文低年级趣味识字的重要性</w:t>
      </w:r>
    </w:p>
    <w:p w14:paraId="4F54AE4C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传统机械识字忽视低年级学生形象思维、注意力短暂的身心特点，易引发厌学情绪。趣味识字依托汉字文化，借助故事、游戏、情境等形式，把抽象汉字转化为直观形象内容，是适配儿童天性的教学模式，其价值体现在三方面：</w:t>
      </w:r>
    </w:p>
    <w:p w14:paraId="5902A022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（一）遵循认知规律，提升识字效率</w:t>
      </w:r>
    </w:p>
    <w:p w14:paraId="084C81D7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低年级学生擅长图形感知，排斥抽象符号记忆。趣味识字拆解汉字字形、搭配故事讲解、归类形声字规律，将被动记忆转为主动理解，降低识字记忆难度，实现高效记忆。例：拆分 “休” 字编小故事，归类 “清、请、晴、睛” 辨析形声字规律。</w:t>
      </w:r>
    </w:p>
    <w:p w14:paraId="74B07B9C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（二）激发内在动机，培养学习兴趣</w:t>
      </w:r>
    </w:p>
    <w:p w14:paraId="4C4A31A4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趣味识字将识字任务转化为游戏、探索活动，调动学生好奇心。课堂汉字魔术、生字寻宝等活动带来成就感，形成 “兴趣 — 学习成功 — 更强兴趣” 的正向循环，帮助学生建立语文学习自信。</w:t>
      </w:r>
    </w:p>
    <w:p w14:paraId="161C268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（三）发展多元智能，奠基语文素养</w:t>
      </w:r>
    </w:p>
    <w:p w14:paraId="04D9624C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趣味识字是综合性教学活动，全面发展学生综合能力：借助儿歌、故事锻炼语言表达；画图、拼字锻炼视觉、动觉能力；小组识字活动提升合作交往能力；识字量积累助力自主阅读，实现识字与阅读双向促进，为写作、深度语文学习打底。</w:t>
      </w:r>
    </w:p>
    <w:p w14:paraId="24A23F9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二、小学语文低年级趣味识字教学实践策略</w:t>
      </w:r>
    </w:p>
    <w:p w14:paraId="3DB5AD81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（一）字理溯源，活化汉字形态</w:t>
      </w:r>
    </w:p>
    <w:p w14:paraId="19E4F9F8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依托象形、会意、指事字造字逻辑，展示汉字从古文字到楷书的演变过程，讲解字形与字义的关联，解决字形字义脱节问题，兼具识字与传统文化启蒙作用。</w:t>
      </w:r>
    </w:p>
    <w:p w14:paraId="104F2250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案例：《日月明》一课教学 “明、男、尖、林” 等会意字，拆分部件结合生活场景解读造字逻辑，让学生理解字形含义。</w:t>
      </w:r>
    </w:p>
    <w:p w14:paraId="7C858D8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（二）游戏激趣，构建动感课堂</w:t>
      </w:r>
    </w:p>
    <w:p w14:paraId="54B12EA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将识字任务融入课堂游戏，调动多感官参与，延长学生有效注意力，在竞争、合作中反复巩固生字。游戏以识字学习为核心，而非单纯娱乐。</w:t>
      </w:r>
    </w:p>
    <w:p w14:paraId="4D1086D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案例：《小书包》课后开展 “摸物猜字”；学习基础数字生字设计 “摘苹果” 识字游戏，在集体互动中复习生字。</w:t>
      </w:r>
    </w:p>
    <w:p w14:paraId="19151B5D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（三）情境勾连，打通生活脉络</w:t>
      </w:r>
    </w:p>
    <w:p w14:paraId="43FBD391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结合生活实景、故事、画面创设沉浸式识字情境，建立汉字与现实生活的联系，让学生感知识字的实用价值，主动在生活中识字。</w:t>
      </w:r>
    </w:p>
    <w:p w14:paraId="43AAE9A2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案例：《秋天》创设赏秋情境学习秋相关生字；《小书包》开展整理文具实景活动，边操作边认读生字并造句。</w:t>
      </w:r>
    </w:p>
    <w:p w14:paraId="06EE6619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（四）阅读浸润，实现协同发展</w:t>
      </w:r>
    </w:p>
    <w:p w14:paraId="32151049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识字与阅读相辅相成，依托儿歌、绘本、短诗等浅易读物，在完整语境中复现生字，借助朗读、圈画生字巩固识字效果；课后拓展拼音绘本阅读，课内课外联动，形成识字促阅读、阅读巩固识字的良性循环。</w:t>
      </w:r>
    </w:p>
    <w:p w14:paraId="25BFA200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案例：教学《小小的船》时，在诗歌朗读中认读生字，课后推荐月亮主题绘本拓展识字。</w:t>
      </w:r>
    </w:p>
    <w:p w14:paraId="2FCF1C3D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三、结语</w:t>
      </w:r>
    </w:p>
    <w:p w14:paraId="7C4D73F7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低年级趣味识字不只是教学形式创新，更是尊重学生成长规律的教育理念革新。融合字理、游戏、情境、阅读四类教学方法，能让汉字变得直观可感，在识字启蒙阶段培养学生对母语的喜爱与探究意识，长期提升语文学习质量。</w:t>
      </w:r>
    </w:p>
    <w:p w14:paraId="00D6C39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4932D28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【学习反思】</w:t>
      </w:r>
    </w:p>
    <w:p w14:paraId="5C0ED90A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“双减” 核心是减轻低年级机械抄写、重复识字的课业负担，实现减负提质，这篇论文的研究思路与我的课题高度契合。此前我对趣味识字的设计仅停留在简单课堂游戏，只追求课堂热闹，忽略字理讲解、生活情境与阅读融合，教学形式浮于表面，缺少文化渗透。</w:t>
      </w:r>
    </w:p>
    <w:p w14:paraId="78089B2A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文中字理溯源、游戏激趣、生活情境、阅读浸润四大策略，为我的课题提供了完整实践路径。今后我会以此文为参考优化研究方案：将汉字造字逻辑融入趣味活动，结合生活实景开展识字，借助绘本、儿歌拓展课外识字，减少枯燥机械练习，平衡趣味性与知识性，真正落实 “双减” 要求，实现激发识字兴趣、提升语文综合素养的研究目标。</w:t>
      </w:r>
    </w:p>
    <w:p w14:paraId="24A2B8E0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0A5E9782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42643DC4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2C59D5B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3DB1B6A5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5DBEC9CD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61C932D1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031F7B10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1300E294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6A6BC535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35A5E465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424E61C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7318B917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6A5B3794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245A4A6C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2FD98C6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2707D32C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5253CB99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0FFFB006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3E6C5CC2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0B313BF1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2ACA7EA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776A8B14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【文献研究】</w:t>
      </w:r>
    </w:p>
    <w:p w14:paraId="7E91A95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《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小学低年级 “字理识字 + 趣味书写” 融合教学探究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》（4月）</w:t>
      </w:r>
    </w:p>
    <w:p w14:paraId="588A036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摘要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统编版小学语文低年级教材兼顾汉字教学的科学性与趣味性，为 “字理识字 + 趣味书写” 融合教学提供优质教学载体。当前低年级汉字教学普遍存在机械抄写过多、学生识记枯燥、书写畏难等问题，该融合模式契合 “双减” 减负提质的教学导向。本文从前置教学准备、课堂落地实施、课后拓展延伸三个维度构建完整教学体系，配套字理动画、卡通书写模板、双面生字卡等教学资源，辅以亲子实践、班级展示墙、汉字竞赛等多元活动。将汉字造字逻辑与趣味书写训练相结合，既能帮助学生理解汉字构形规律，提升识字效率与书写规范性，又能渗透中华汉字文化，激发学生主动识字、规范书写的内在兴趣，为低年级汉字教学提供可落地的实操参考。</w:t>
      </w:r>
    </w:p>
    <w:p w14:paraId="1572291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关键词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小学语文；低年级；字理识字；趣味书写；融合教学</w:t>
      </w:r>
    </w:p>
    <w:p w14:paraId="0EF1225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一、“字理识字 + 趣味书写” 融合教学准备</w:t>
      </w:r>
    </w:p>
    <w:p w14:paraId="2EA3A68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教学开展前做好教材、学情、教学资源三方面筹备，为融合教学打下基础。</w:t>
      </w:r>
    </w:p>
    <w:p w14:paraId="6F5A225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（一）教材分析与生字梳理</w:t>
      </w:r>
    </w:p>
    <w:p w14:paraId="168C279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教师深度研读教材，梳理单元全部生字，区分象形、指事、会意、形声字类别，明确每一类生字的识字、书写教学重难点。以一年级上册识字单元 “木、禾” 等基础生字为例，归类为象形入门字，教学重点为建立字形与实物的关联，同步锁定横、竖、撇、捺等基础笔画的书写训练目标，让字理讲解与书写练习目标精准对应。</w:t>
      </w:r>
    </w:p>
    <w:p w14:paraId="3FA9F0A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（二）学情分析与需求把握</w:t>
      </w:r>
    </w:p>
    <w:p w14:paraId="5D5B7E5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通过课前小测、课堂日常观察、家校沟通多种方式综合研判学情，精准掌握学生识字薄弱点、书写共性问题，如笔顺颠倒、汉字间架宽窄失衡、握笔姿势不标准等。结合学生偏爱直观画面、抵触大量重复书写、复杂生字易产生畏难心理的特点，设计分层趣味教学内容，满足不同学习水平学生的学习需求。</w:t>
      </w:r>
    </w:p>
    <w:p w14:paraId="55694C8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（三）教学资源开发与准备</w:t>
      </w:r>
    </w:p>
    <w:p w14:paraId="63E0BBB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围绕教材生字开发视觉、动手实操类多元素材，增强课堂直观性与趣味性。一是字理演变素材，制作甲骨文、金文到楷书的动态演变视频；二是趣味书写模板，结合卡通场景设计笔画练习格，搭配简易书写口诀；三是双面多功能生字卡片，正面标注生字笔顺、间架结构，背面配有字理简笔画与轻量化书写小任务，丰富课堂学习载体。</w:t>
      </w:r>
    </w:p>
    <w:p w14:paraId="49F48E6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二、“字理识字 + 趣味书写” 融合教学实施</w:t>
      </w:r>
    </w:p>
    <w:p w14:paraId="73B4119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课堂遵循 “激趣导入 — 字理解字 — 趣味练写” 完整流程，实现识字与书写一体化教学。</w:t>
      </w:r>
    </w:p>
    <w:p w14:paraId="71BE8A1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（一）形象导入，激发兴趣</w:t>
      </w:r>
    </w:p>
    <w:p w14:paraId="299F667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借助实物教具、古文字动画、小故事、实景图片等直观形式创设课堂情境，快速抓住低年级学生注意力，缓解汉字学习的枯燥感与畏难情绪。以 “火” 字教学为例，搭配火焰道具与汉字演变动画，引导学生观察字形与实物的相似之处，调动学习积极性，为后续字理解析、书写指导铺垫轻松的课堂氛围。</w:t>
      </w:r>
    </w:p>
    <w:p w14:paraId="57A917F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（二）字理解析，辅助识字</w:t>
      </w:r>
    </w:p>
    <w:p w14:paraId="47837B1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按照汉字不同构字类型，采用部件拆分、简笔画绘图、情景模拟、动作演示等通俗方式讲解字理，重点拆解形声字 “形旁表义、声旁表音” 核心规律。以 “鸭” 字为例，拆分 “甲” 与 “鸟” 部件讲解读音、字义关联，打通汉字音、形、义三者联系，摒弃机械死记硬背，让学生理解造字逻辑，同步感受汉字文化底蕴。</w:t>
      </w:r>
    </w:p>
    <w:p w14:paraId="2C45BC8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（三）书写指导，掌握要领</w:t>
      </w:r>
    </w:p>
    <w:p w14:paraId="5A9FBF3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严格遵循 “观察字形 — 教师 / 动画示范 — 趣味练习 — 当堂纠错” 标准化教学流程。课堂使用卡通田字格、朗朗上口的书写口诀辅助练习，设置贴纸、星级奖励激励学生；教师巡视时针对笔画长短、部件位置、整体结构等问题一对一指导，循序渐进纠正不良书写习惯，掌握规范书写技巧。</w:t>
      </w:r>
    </w:p>
    <w:p w14:paraId="46F35BB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三、“字理识字 + 趣味书写” 融合教学拓展</w:t>
      </w:r>
    </w:p>
    <w:p w14:paraId="7D11365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依托课后实践活动延伸课堂学习，联动家校、班级营造长效汉字学习氛围。</w:t>
      </w:r>
    </w:p>
    <w:p w14:paraId="7D48490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（一）亲子字理书写卡制作</w:t>
      </w:r>
    </w:p>
    <w:p w14:paraId="1E61777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搭建家校协同育人路径，布置轻量化实践作业，契合 “双减” 减少书面作业的要求。家长与学生共同完成生字字理绘图、规范书写、创意装饰，成品带回班级进行分享交流，在家中打造轻松的汉字学习场景，巩固课内识字与书写成果。</w:t>
      </w:r>
    </w:p>
    <w:p w14:paraId="2C00EAE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（二）设立字理书写展示墙</w:t>
      </w:r>
    </w:p>
    <w:p w14:paraId="06EB567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在教室搭建专属展示区域，分设 “字理小达人”“书写小明星” 两大板块，定期更新学生手绘字理图、优秀书写作业，同时增设进步展示区。每月开展投票评选，颁发小表彰，营造比学赶超的良性班级氛围，持续增强学生识字书写自信心。</w:t>
      </w:r>
    </w:p>
    <w:p w14:paraId="252C095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（三）开展字理书写竞赛</w:t>
      </w:r>
    </w:p>
    <w:p w14:paraId="59F5EF4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举办 “汉字王国大冒险” 主题竞赛，分为个人挑战赛与小组合作赛。个人赛包含甲骨文猜字、规范书写项目；小组赛开展汉字部件拼合、字理解说同步书写比拼。设置趣味奖励，以竞赛形式检验学习成果，锻炼学生灵活运用汉字的综合能力。</w:t>
      </w:r>
    </w:p>
    <w:p w14:paraId="154766F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四、结语</w:t>
      </w:r>
    </w:p>
    <w:p w14:paraId="1B3D45A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汉字教学是小学低年级语文的奠基工程，直接影响学生长期语文能力与传统文化素养培育。“字理识字 + 趣味书写” 融合教学构建了课前筹备、课堂实施、课后拓展的完整闭环教学模式，打破传统汉字教学机械抄写、枯燥记字的弊端，高度贴合 “双减” 减负增效的教学要求。该模式既能帮助学生理清汉字构字规律，切实提升识字效率与书写规范性，又能让学生深度感受汉字独有的文化魅力，持续培育学生主动探究汉字的兴趣，为学生后续阅读、写作等语文学习筑牢坚实根基。</w:t>
      </w:r>
    </w:p>
    <w:p w14:paraId="55BE3BD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 w14:paraId="7B82B002"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【学习反思】</w:t>
      </w:r>
    </w:p>
    <w:p w14:paraId="22063CA1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此前我设计的趣味识字策略大多只聚焦课堂认读环节，忽视识字与书写的融合，减负方式仅简单减少抄写，缺少兼具趣味性与知识性的书写训练，且未搭建完整课前、课中、课后闭环体系。</w:t>
      </w:r>
    </w:p>
    <w:p w14:paraId="23585F3D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本文提出的 “字理识字 + 趣味书写” 融合模式精准契合 “双减” 减负提质要求，从课前教材学情筹备、课堂字理解读与趣味练写、课后家校拓展活动形成完整教学链条，弥补了我原有研究的漏洞。</w:t>
      </w:r>
    </w:p>
    <w:p w14:paraId="07926EBD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后续我将优化课题研究框架，把字理讲解、趣味书写融入趣味识字体系，设计亲子手工、班级汉字竞赛等轻量化课后活动，减少机械重复抄写，兼顾识字理解、规范书写与文化渗透，让趣味识字教学更系统、更贴合低年级学生需求，真正落实 “双减” 育人目标。</w:t>
      </w:r>
    </w:p>
    <w:p w14:paraId="5B9AD74E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 w14:paraId="5A935A56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 w14:paraId="6FEEE64C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【文献研究】</w:t>
      </w:r>
    </w:p>
    <w:p w14:paraId="340A2C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《乐游“戏”中 玩在“字”里小学语文低年级趣味识字教学新范式》（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月）</w:t>
      </w:r>
    </w:p>
    <w:p w14:paraId="18DF6528">
      <w:pPr>
        <w:spacing w:line="24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2611755" cy="3137535"/>
            <wp:effectExtent l="0" t="0" r="4445" b="1206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2960370" cy="3467100"/>
            <wp:effectExtent l="0" t="0" r="11430" b="1270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B04">
      <w:pPr>
        <w:spacing w:line="400" w:lineRule="exact"/>
        <w:rPr>
          <w:rFonts w:hint="eastAsia" w:ascii="宋体" w:hAnsi="宋体" w:eastAsia="宋体" w:cs="宋体"/>
          <w:sz w:val="24"/>
          <w:lang w:val="en-US" w:eastAsia="zh-CN"/>
        </w:rPr>
      </w:pPr>
    </w:p>
    <w:p w14:paraId="624C1F35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【学习反思】</w:t>
      </w:r>
    </w:p>
    <w:p w14:paraId="74F40DE0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此前我构思的趣味识字游戏形式单一，仅停留在简单认读比拼，没有结合汉字构字规律设计游戏，也未兼顾学生识字水平差异，缺少分层设计，容易出现学困生跟不上、优等生无提升的问题，同时忽视将识字游戏和日常生活结合。</w:t>
      </w:r>
    </w:p>
    <w:p w14:paraId="2B22BA22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文中提出的构字探秘、情境浸润、分层进阶三阶游戏模型高度契合 “双减” 减负提质要求。依托古文字配对、生活对韵闯关、三级分层游戏等活动，替代机械抄写，既能借助游戏理解汉字音形义，又能兼顾不同学情，让每位学生获得学习成就感。</w:t>
      </w:r>
    </w:p>
    <w:p w14:paraId="638A203C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后续我将完善课题研究框架，把三维游戏范式融入趣味识字教学，设计分层游戏任务、生活化识字实践活动，平衡课堂趣味性与知识性，真正减少重复识字作业，落实双减育人目标。</w:t>
      </w:r>
    </w:p>
    <w:p w14:paraId="4E51FE3E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</w:p>
    <w:p w14:paraId="2FC87164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</w:p>
    <w:p w14:paraId="2C669B77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</w:p>
    <w:p w14:paraId="595AC650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</w:p>
    <w:p w14:paraId="18C03E34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</w:p>
    <w:p w14:paraId="06759A6F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</w:p>
    <w:p w14:paraId="308DFC2D">
      <w:pPr>
        <w:spacing w:line="400" w:lineRule="exact"/>
        <w:ind w:firstLine="785" w:firstLineChars="245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57110189">
      <w:pPr>
        <w:spacing w:line="400" w:lineRule="exact"/>
        <w:ind w:firstLine="641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【文献研究与应用】</w:t>
      </w:r>
    </w:p>
    <w:p w14:paraId="73C34FAB">
      <w:pPr>
        <w:spacing w:line="400" w:lineRule="exact"/>
        <w:ind w:firstLine="588" w:firstLineChars="245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《" 双减 " 背景下低年级识字趣味化教学策略》</w:t>
      </w:r>
      <w:r>
        <w:rPr>
          <w:rFonts w:hint="eastAsia" w:ascii="宋体" w:hAnsi="宋体" w:cs="宋体"/>
          <w:sz w:val="24"/>
          <w:lang w:val="en-US" w:eastAsia="zh-CN"/>
        </w:rPr>
        <w:t>（6月）</w:t>
      </w:r>
    </w:p>
    <w:p w14:paraId="248AF1A2">
      <w:pPr>
        <w:spacing w:line="240" w:lineRule="auto"/>
        <w:rPr>
          <w:rFonts w:hint="default" w:ascii="宋体" w:hAnsi="宋体" w:eastAsia="宋体" w:cs="宋体"/>
          <w:b w:val="0"/>
          <w:bCs/>
          <w:sz w:val="24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sz w:val="24"/>
          <w:lang w:val="en-US" w:eastAsia="zh-CN"/>
        </w:rPr>
        <w:drawing>
          <wp:inline distT="0" distB="0" distL="114300" distR="114300">
            <wp:extent cx="1724660" cy="2073910"/>
            <wp:effectExtent l="0" t="0" r="2540" b="8890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sz w:val="24"/>
          <w:lang w:val="en-US" w:eastAsia="zh-CN"/>
        </w:rPr>
        <w:drawing>
          <wp:inline distT="0" distB="0" distL="114300" distR="114300">
            <wp:extent cx="1549400" cy="2031365"/>
            <wp:effectExtent l="0" t="0" r="0" b="635"/>
            <wp:docPr id="6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sz w:val="24"/>
          <w:lang w:val="en-US" w:eastAsia="zh-CN"/>
        </w:rPr>
        <w:drawing>
          <wp:inline distT="0" distB="0" distL="114300" distR="114300">
            <wp:extent cx="1648460" cy="2120265"/>
            <wp:effectExtent l="0" t="0" r="2540" b="13335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7746">
      <w:pPr>
        <w:spacing w:line="400" w:lineRule="exact"/>
        <w:ind w:firstLine="588" w:firstLineChars="245"/>
        <w:rPr>
          <w:rFonts w:hint="eastAsia"/>
          <w:sz w:val="24"/>
        </w:rPr>
      </w:pPr>
      <w:r>
        <w:rPr>
          <w:rFonts w:hint="eastAsia"/>
          <w:sz w:val="24"/>
        </w:rPr>
        <w:t>【学习反思】</w:t>
      </w:r>
    </w:p>
    <w:p w14:paraId="095DD1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研读唐琪老师的论文后，发现文章研究方向与我的课题《“双减” 政策下趣味教学法在小学语文低年级识字教学中的应用研究》高度契合，也暴露出我前期研究设想存在不少短板。此前我构思的趣味识字手段较为单薄，仅设计简单课堂小游戏，缺少多感官情境、音韵唱诵、实物实操等多元形式；课后巩固仍依赖抄写类作业，家校联动识字板块完全空白，未能真正实现 “双减” 减量提质。</w:t>
      </w:r>
    </w:p>
    <w:p w14:paraId="48A8BC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本文围绕双减提出五大可落地趣味教学路径，从课堂情境、问答游戏、唱诵识字、动手体验延伸至分层亲子实践，全部以轻量化实践任务替代机械抄写，兼顾课堂学习与课外拓展。</w:t>
      </w:r>
    </w:p>
    <w:p w14:paraId="4D9EE1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/>
          <w:sz w:val="24"/>
        </w:rPr>
      </w:pPr>
      <w:bookmarkStart w:id="0" w:name="_GoBack"/>
      <w:bookmarkEnd w:id="0"/>
      <w:r>
        <w:rPr>
          <w:rFonts w:hint="eastAsia" w:ascii="宋体" w:hAnsi="宋体"/>
          <w:sz w:val="24"/>
        </w:rPr>
        <w:t>后续我将完善课题整体框架，把多感官情境、识字童谣、实物体验、阶梯式亲子识字任务融入研究设计，搭建课上趣味识字、生活拓展识字的完整体系，在减少书面作业的基础上，提升学生识字效率，同步渗透汉字文化，真正落实双减育人目标。</w:t>
      </w:r>
    </w:p>
    <w:sectPr>
      <w:footerReference r:id="rId3" w:type="default"/>
      <w:footerReference r:id="rId4" w:type="even"/>
      <w:pgSz w:w="11906" w:h="16838"/>
      <w:pgMar w:top="1440" w:right="1418" w:bottom="1440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.applesystemuifont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UICTFontTextStyleBody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ˎ̥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FZSong III-Z05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FengYaSongS-G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DaHei-B02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9FE88">
    <w:pPr>
      <w:pStyle w:val="5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5</w:t>
    </w:r>
    <w:r>
      <w:fldChar w:fldCharType="end"/>
    </w:r>
  </w:p>
  <w:p w14:paraId="06FDB451">
    <w:pPr>
      <w:pStyle w:val="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08532">
    <w:pPr>
      <w:pStyle w:val="5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end"/>
    </w:r>
  </w:p>
  <w:p w14:paraId="264401A1">
    <w:pPr>
      <w:pStyle w:val="5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9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wZTMyOTMwYTZiYjI3Y2FkOTE1OTY2YjM2Nzg1YWUifQ=="/>
  </w:docVars>
  <w:rsids>
    <w:rsidRoot w:val="002C25CC"/>
    <w:rsid w:val="0000306C"/>
    <w:rsid w:val="00041711"/>
    <w:rsid w:val="00041BFC"/>
    <w:rsid w:val="000818B7"/>
    <w:rsid w:val="000A54DF"/>
    <w:rsid w:val="000B2C11"/>
    <w:rsid w:val="000C5687"/>
    <w:rsid w:val="000D52BE"/>
    <w:rsid w:val="000D7056"/>
    <w:rsid w:val="001038BD"/>
    <w:rsid w:val="00146ACA"/>
    <w:rsid w:val="00154CEE"/>
    <w:rsid w:val="00176742"/>
    <w:rsid w:val="001A76DE"/>
    <w:rsid w:val="001C1456"/>
    <w:rsid w:val="001D1884"/>
    <w:rsid w:val="001E1DC0"/>
    <w:rsid w:val="00205CAD"/>
    <w:rsid w:val="00215B67"/>
    <w:rsid w:val="00293826"/>
    <w:rsid w:val="002A57C4"/>
    <w:rsid w:val="002A6323"/>
    <w:rsid w:val="002B6074"/>
    <w:rsid w:val="002C25CC"/>
    <w:rsid w:val="002D0DF3"/>
    <w:rsid w:val="002F0AE1"/>
    <w:rsid w:val="002F4D7C"/>
    <w:rsid w:val="00312169"/>
    <w:rsid w:val="00323691"/>
    <w:rsid w:val="00343A99"/>
    <w:rsid w:val="00361284"/>
    <w:rsid w:val="003662AE"/>
    <w:rsid w:val="00394D7B"/>
    <w:rsid w:val="00397BC7"/>
    <w:rsid w:val="003C1193"/>
    <w:rsid w:val="003F7F24"/>
    <w:rsid w:val="00403C88"/>
    <w:rsid w:val="004215A6"/>
    <w:rsid w:val="0042535D"/>
    <w:rsid w:val="00433480"/>
    <w:rsid w:val="004750EB"/>
    <w:rsid w:val="00493478"/>
    <w:rsid w:val="004B1DF4"/>
    <w:rsid w:val="004B45DF"/>
    <w:rsid w:val="004C133D"/>
    <w:rsid w:val="004C546B"/>
    <w:rsid w:val="004C6092"/>
    <w:rsid w:val="004D1337"/>
    <w:rsid w:val="0050788C"/>
    <w:rsid w:val="00580F0E"/>
    <w:rsid w:val="005B0AC0"/>
    <w:rsid w:val="005B3765"/>
    <w:rsid w:val="005D50A0"/>
    <w:rsid w:val="0060267F"/>
    <w:rsid w:val="0060693C"/>
    <w:rsid w:val="0062776D"/>
    <w:rsid w:val="00630C44"/>
    <w:rsid w:val="006473C0"/>
    <w:rsid w:val="006B141C"/>
    <w:rsid w:val="006E267B"/>
    <w:rsid w:val="006E4FCF"/>
    <w:rsid w:val="006F1D77"/>
    <w:rsid w:val="0071590B"/>
    <w:rsid w:val="007372F5"/>
    <w:rsid w:val="00765AC8"/>
    <w:rsid w:val="007823A2"/>
    <w:rsid w:val="007C05F0"/>
    <w:rsid w:val="007C1858"/>
    <w:rsid w:val="007D40D6"/>
    <w:rsid w:val="007D48CC"/>
    <w:rsid w:val="007D77D2"/>
    <w:rsid w:val="00815C0B"/>
    <w:rsid w:val="0085440B"/>
    <w:rsid w:val="008775E5"/>
    <w:rsid w:val="0089188A"/>
    <w:rsid w:val="008C362A"/>
    <w:rsid w:val="0093276A"/>
    <w:rsid w:val="00957887"/>
    <w:rsid w:val="00961207"/>
    <w:rsid w:val="0097379A"/>
    <w:rsid w:val="00993F73"/>
    <w:rsid w:val="009A7C65"/>
    <w:rsid w:val="009B463B"/>
    <w:rsid w:val="009B76D9"/>
    <w:rsid w:val="009C1F17"/>
    <w:rsid w:val="009C55E0"/>
    <w:rsid w:val="00A27AB5"/>
    <w:rsid w:val="00A31B9E"/>
    <w:rsid w:val="00A40C9C"/>
    <w:rsid w:val="00A4270B"/>
    <w:rsid w:val="00A532FB"/>
    <w:rsid w:val="00A56BC3"/>
    <w:rsid w:val="00A60A84"/>
    <w:rsid w:val="00A71DFD"/>
    <w:rsid w:val="00A8065B"/>
    <w:rsid w:val="00A914BF"/>
    <w:rsid w:val="00A94C26"/>
    <w:rsid w:val="00AA444B"/>
    <w:rsid w:val="00AC3969"/>
    <w:rsid w:val="00B244E5"/>
    <w:rsid w:val="00B24F06"/>
    <w:rsid w:val="00B350A2"/>
    <w:rsid w:val="00B431C5"/>
    <w:rsid w:val="00B44193"/>
    <w:rsid w:val="00B47E95"/>
    <w:rsid w:val="00B65256"/>
    <w:rsid w:val="00B7064B"/>
    <w:rsid w:val="00B757FA"/>
    <w:rsid w:val="00B90E86"/>
    <w:rsid w:val="00BA3841"/>
    <w:rsid w:val="00BD0A64"/>
    <w:rsid w:val="00BD73A7"/>
    <w:rsid w:val="00BE3E8F"/>
    <w:rsid w:val="00BF3760"/>
    <w:rsid w:val="00C00725"/>
    <w:rsid w:val="00C01B03"/>
    <w:rsid w:val="00C14A49"/>
    <w:rsid w:val="00C517BE"/>
    <w:rsid w:val="00C53CE3"/>
    <w:rsid w:val="00C602B5"/>
    <w:rsid w:val="00C63551"/>
    <w:rsid w:val="00C83E79"/>
    <w:rsid w:val="00CA3111"/>
    <w:rsid w:val="00CD0C43"/>
    <w:rsid w:val="00CD5138"/>
    <w:rsid w:val="00D21CB3"/>
    <w:rsid w:val="00D57E0F"/>
    <w:rsid w:val="00D81FC0"/>
    <w:rsid w:val="00DA1F07"/>
    <w:rsid w:val="00DA25BE"/>
    <w:rsid w:val="00DB760F"/>
    <w:rsid w:val="00DD2A9E"/>
    <w:rsid w:val="00DD3324"/>
    <w:rsid w:val="00E14C9A"/>
    <w:rsid w:val="00E17B9C"/>
    <w:rsid w:val="00E62E38"/>
    <w:rsid w:val="00E71228"/>
    <w:rsid w:val="00E871F0"/>
    <w:rsid w:val="00EB6BAB"/>
    <w:rsid w:val="00ED14C1"/>
    <w:rsid w:val="00ED7BDC"/>
    <w:rsid w:val="00EF4C85"/>
    <w:rsid w:val="00F31301"/>
    <w:rsid w:val="00F33522"/>
    <w:rsid w:val="00F5022B"/>
    <w:rsid w:val="00F6450F"/>
    <w:rsid w:val="00F6665E"/>
    <w:rsid w:val="00FB0EE5"/>
    <w:rsid w:val="00FC4DFF"/>
    <w:rsid w:val="00FD68AF"/>
    <w:rsid w:val="00FE005F"/>
    <w:rsid w:val="00FE20F8"/>
    <w:rsid w:val="00FE7867"/>
    <w:rsid w:val="0FE95BB6"/>
    <w:rsid w:val="13B767C1"/>
    <w:rsid w:val="22E7AD0C"/>
    <w:rsid w:val="2CE640E0"/>
    <w:rsid w:val="3667329A"/>
    <w:rsid w:val="37BD53AB"/>
    <w:rsid w:val="3D7EB644"/>
    <w:rsid w:val="3FEDD692"/>
    <w:rsid w:val="5F62D50D"/>
    <w:rsid w:val="6776F488"/>
    <w:rsid w:val="68DDB2C8"/>
    <w:rsid w:val="6FD7E5CE"/>
    <w:rsid w:val="6FF7035E"/>
    <w:rsid w:val="7DE577FC"/>
    <w:rsid w:val="AFF98BB7"/>
    <w:rsid w:val="B56BCF5C"/>
    <w:rsid w:val="D6B20FB7"/>
    <w:rsid w:val="DED713D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  <w:bCs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footnote reference"/>
    <w:basedOn w:val="11"/>
    <w:qFormat/>
    <w:uiPriority w:val="0"/>
    <w:rPr>
      <w:vertAlign w:val="superscript"/>
    </w:rPr>
  </w:style>
  <w:style w:type="character" w:customStyle="1" w:styleId="16">
    <w:name w:val="页眉 Char"/>
    <w:link w:val="6"/>
    <w:qFormat/>
    <w:uiPriority w:val="0"/>
    <w:rPr>
      <w:kern w:val="2"/>
      <w:sz w:val="18"/>
      <w:szCs w:val="18"/>
    </w:rPr>
  </w:style>
  <w:style w:type="paragraph" w:customStyle="1" w:styleId="17">
    <w:name w:val="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customStyle="1" w:styleId="1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.applesystemuifont" w:hAnsi=".applesystemuifont" w:eastAsia=".applesystemuifont" w:cs=".applesystemuifont"/>
      <w:kern w:val="0"/>
      <w:sz w:val="30"/>
      <w:szCs w:val="30"/>
      <w:lang w:val="en-US" w:eastAsia="zh-CN" w:bidi="ar"/>
    </w:rPr>
  </w:style>
  <w:style w:type="character" w:customStyle="1" w:styleId="20">
    <w:name w:val="s1"/>
    <w:basedOn w:val="11"/>
    <w:qFormat/>
    <w:uiPriority w:val="0"/>
    <w:rPr>
      <w:rFonts w:ascii="UICTFontTextStyleBody" w:hAnsi="UICTFontTextStyleBody" w:eastAsia="UICTFontTextStyleBody" w:cs="UICTFontTextStyleBody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WWW.TYGHOST.COM</Company>
  <Pages>7</Pages>
  <Words>247</Words>
  <Characters>274</Characters>
  <Lines>3</Lines>
  <Paragraphs>1</Paragraphs>
  <TotalTime>24</TotalTime>
  <ScaleCrop>false</ScaleCrop>
  <LinksUpToDate>false</LinksUpToDate>
  <CharactersWithSpaces>331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2023-03-05T22:08:00Z</dcterms:created>
  <dc:creator>User</dc:creator>
  <cp:lastModifiedBy>Markiepooh</cp:lastModifiedBy>
  <dcterms:modified xsi:type="dcterms:W3CDTF">2026-06-24T09:13:05Z</dcterms:modified>
  <dc:title>“引领学生优化学习行为，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4B6F305CC570981202443A6A16F9477F_43</vt:lpwstr>
  </property>
</Properties>
</file>