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E1AD36">
      <w:pPr>
        <w:jc w:val="center"/>
        <w:rPr>
          <w:rFonts w:ascii="黑体" w:hAnsi="黑体" w:eastAsia="黑体" w:cs="黑体"/>
          <w:sz w:val="22"/>
          <w:szCs w:val="28"/>
        </w:rPr>
      </w:pPr>
      <w:r>
        <w:rPr>
          <w:rFonts w:hint="eastAsia" w:ascii="黑体" w:hAnsi="黑体" w:eastAsia="黑体" w:cs="黑体"/>
          <w:b/>
          <w:bCs/>
          <w:sz w:val="32"/>
          <w:szCs w:val="40"/>
          <w:lang w:val="en-US" w:eastAsia="zh-CN"/>
        </w:rPr>
        <w:t>6</w:t>
      </w:r>
      <w:r>
        <w:rPr>
          <w:rFonts w:hint="eastAsia" w:ascii="黑体" w:hAnsi="黑体" w:eastAsia="黑体" w:cs="黑体"/>
          <w:b/>
          <w:bCs/>
          <w:sz w:val="32"/>
          <w:szCs w:val="40"/>
        </w:rPr>
        <w:t>月理论学习（</w:t>
      </w:r>
      <w:r>
        <w:rPr>
          <w:rFonts w:hint="eastAsia" w:ascii="黑体" w:hAnsi="黑体" w:eastAsia="黑体" w:cs="黑体"/>
          <w:b/>
          <w:bCs/>
          <w:sz w:val="32"/>
          <w:szCs w:val="40"/>
          <w:lang w:val="en-US" w:eastAsia="zh-CN"/>
        </w:rPr>
        <w:t>孙晓</w:t>
      </w:r>
      <w:r>
        <w:rPr>
          <w:rFonts w:hint="eastAsia" w:ascii="黑体" w:hAnsi="黑体" w:eastAsia="黑体" w:cs="黑体"/>
          <w:b/>
          <w:bCs/>
          <w:sz w:val="32"/>
          <w:szCs w:val="40"/>
        </w:rPr>
        <w:t>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9"/>
        <w:gridCol w:w="6623"/>
      </w:tblGrid>
      <w:tr w14:paraId="7B6DF453">
        <w:tc>
          <w:tcPr>
            <w:tcW w:w="1899" w:type="dxa"/>
            <w:vAlign w:val="center"/>
          </w:tcPr>
          <w:p w14:paraId="0D52B14D">
            <w:pPr>
              <w:widowControl w:val="0"/>
              <w:spacing w:line="360" w:lineRule="auto"/>
              <w:jc w:val="both"/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36"/>
              </w:rPr>
              <w:t>【论文题目】</w:t>
            </w:r>
          </w:p>
        </w:tc>
        <w:tc>
          <w:tcPr>
            <w:tcW w:w="6623" w:type="dxa"/>
            <w:vAlign w:val="center"/>
          </w:tcPr>
          <w:p w14:paraId="68791C8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数字技术赋能小学数学实验教学的变革路径与实践研究 作者：孙丽红</w:t>
            </w:r>
          </w:p>
        </w:tc>
      </w:tr>
      <w:tr w14:paraId="62BFB3DC">
        <w:tc>
          <w:tcPr>
            <w:tcW w:w="1899" w:type="dxa"/>
            <w:vAlign w:val="center"/>
          </w:tcPr>
          <w:p w14:paraId="46B71DA1">
            <w:pPr>
              <w:widowControl w:val="0"/>
              <w:spacing w:line="360" w:lineRule="auto"/>
              <w:jc w:val="both"/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36"/>
              </w:rPr>
              <w:t>【学习摘要】</w:t>
            </w:r>
          </w:p>
        </w:tc>
        <w:tc>
          <w:tcPr>
            <w:tcW w:w="6623" w:type="dxa"/>
          </w:tcPr>
          <w:p w14:paraId="5A05B36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一、数字技术优化数学实验教学的核心价值</w:t>
            </w:r>
          </w:p>
          <w:p w14:paraId="3BCDD26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传统实物实验存在学具有限、动态变化难以直观展示、无法反复操作等短板，数字化虚拟实验依托白板、教学软件、线上探究平台，弥补实物实验局限，动态呈现图形变换、数量变化、变量关系，降低抽象知识理解难度；同时自动留存学生操作数据，实现精准学情诊断，助力分层指导与个性化实验教学。</w:t>
            </w:r>
          </w:p>
          <w:p w14:paraId="2345B765"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二、数字化实验教学完整实施路径</w:t>
            </w:r>
          </w:p>
          <w:p w14:paraId="4AC1B878"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课前：数字资源前置预习，精准定位学情。教师通过线上平台推送微型虚拟实验预习任务，平台自动收集学生操作数据，梳理学生认知难点，据此调整课堂实物实验与虚拟实验搭配比例。</w:t>
            </w:r>
          </w:p>
          <w:p w14:paraId="5A4C267F"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课中：“实物实操 + 虚拟仿真” 融合开展实验。基础概念使用小棒、卡纸等实物动手操作建立直观感知；动态规律、复杂图形变换使用虚拟软件拖拽、缩放、变形，直观观察变量变化，虚实结合互补优势。课堂流程优化为 “情境导入 — 实物初探 — 虚拟深探 — 协作研讨 — 总结建模”。</w:t>
            </w:r>
          </w:p>
          <w:p w14:paraId="6A6060FE"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小组协作数字化记录，提升探究效率。利用平板表格同步记录实验数据，小组实时共享数据，快速对比多组实验结果，减少纸质记录耗时，留出更多时间用于讨论推理。</w:t>
            </w:r>
          </w:p>
          <w:p w14:paraId="6549F003"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课后：线上拓展实验任务，实现知识迁移。推送生活化虚拟拓展实验，学生在家自主操作，上传实验成果，教师线上批注反馈，延伸课堂实验探究。</w:t>
            </w:r>
          </w:p>
          <w:p w14:paraId="6FE228CF"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三、数据驱动的数字化多元评价体系依托平台操作轨迹、实验记录、答题数据生成学生学习画像，区分学生操作能力、推理能力、合作能力发展差异；评价分为自动数据评价、教师线上点评、小组线上互评三类，依据数据精准定位学生薄弱点，开展针对性课后辅导。</w:t>
            </w:r>
          </w:p>
          <w:p w14:paraId="76C7F2C5"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四、数字化实验实施注意事项不可完全用虚拟实验替代实物动手操作，低年级优先实物实操，虚拟实验仅作为补充；避免过度依赖多媒体，忽略学生纸笔记录、口头说理训练；把控课堂设备操作时长，防止学生注意力集中于软件操作，脱离数学探究核心。</w:t>
            </w:r>
          </w:p>
          <w:p w14:paraId="79C8C577">
            <w:pPr>
              <w:widowControl w:val="0"/>
              <w:jc w:val="both"/>
              <w:rPr>
                <w:rFonts w:hint="default"/>
                <w:lang w:val="en-US" w:eastAsia="zh-CN"/>
              </w:rPr>
            </w:pPr>
          </w:p>
        </w:tc>
      </w:tr>
      <w:tr w14:paraId="74C4EF74">
        <w:tc>
          <w:tcPr>
            <w:tcW w:w="1899" w:type="dxa"/>
            <w:vAlign w:val="center"/>
          </w:tcPr>
          <w:p w14:paraId="71B27446">
            <w:pPr>
              <w:widowControl w:val="0"/>
              <w:jc w:val="both"/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36"/>
              </w:rPr>
              <w:t>【学习反思】</w:t>
            </w:r>
          </w:p>
        </w:tc>
        <w:tc>
          <w:tcPr>
            <w:tcW w:w="6623" w:type="dxa"/>
          </w:tcPr>
          <w:p w14:paraId="6C89166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孙丽红老师的数字化实验研究为我解决实物实验局限性提供新思路。三年级图形、度量类教学中，很多动态变化过程仅靠实物难以完整展示，学生理解存在障碍。在后续面积单元实验教学中，我将采用 “实物拼摆 + 虚拟图形变换” 融合模式：先用方格纸、长方形纸片动手拼摆，初步感知面积；再借助交互式白板拖动图形拉伸、分割，直观观察长宽变化对面积的影响，让学生清晰感知变量关系。课前推送简短虚拟预习实验，提前掌握学生对面积概念的认知误区，课堂针对性调整实验任务；小组使用电子表格同步记录拼摆数据，快速对比不同长方形面积规律。课后布置线上居家测量小实验，让学生测量家中桌面、书本面积并上传记录。同时把控虚实实验比例，坚持以实物动手操作为主，虚拟仿真辅助突破难点，避免学生沉迷设备操作。依托数字化数据精准开展分层指导，借助虚实融合的实验模式，丰富数学实验形式，降低抽象知识理解难度。</w:t>
            </w:r>
          </w:p>
          <w:p w14:paraId="35EB347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lang w:val="en-US" w:eastAsia="zh-CN"/>
              </w:rPr>
            </w:pPr>
            <w:bookmarkStart w:id="0" w:name="_GoBack"/>
            <w:bookmarkEnd w:id="0"/>
          </w:p>
        </w:tc>
      </w:tr>
    </w:tbl>
    <w:p w14:paraId="7C8F02D1"/>
    <w:p w14:paraId="34BB2A1B"/>
    <w:p w14:paraId="64B020FB"/>
    <w:p w14:paraId="0B2D1D8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3FAFF95"/>
    <w:rsid w:val="1EF489DD"/>
    <w:rsid w:val="5F733195"/>
    <w:rsid w:val="6CE72B79"/>
    <w:rsid w:val="E3FAF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69</TotalTime>
  <ScaleCrop>false</ScaleCrop>
  <LinksUpToDate>false</LinksUpToDate>
  <CharactersWithSpaces>0</CharactersWithSpaces>
  <Application>WPS Office_12.1.25895.25895_F1E327BC-269C-435d-A152-05C5408002CA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2025-06-17T10:34:00Z</dcterms:created>
  <dc:creator>akaty</dc:creator>
  <cp:lastModifiedBy>akaty</cp:lastModifiedBy>
  <dcterms:modified xsi:type="dcterms:W3CDTF">2026-06-24T10:23:34Z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2052-12.1.25895.25895</vt:lpwstr>
  </property>
  <property fmtid="{D5CDD505-2E9C-101B-9397-08002B2CF9AE}" pid="3" name="ICV">
    <vt:lpwstr>1E12FB61B6A66EF5BC824F6823D69F76_41</vt:lpwstr>
  </property>
</Properties>
</file>