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EE41C">
      <w:pPr>
        <w:pStyle w:val="2"/>
        <w:jc w:val="center"/>
        <w:rPr>
          <w:rFonts w:hint="eastAsia" w:ascii="_x000B__x000C_" w:hAnsi="_x000B__x000C_"/>
          <w:b/>
          <w:sz w:val="48"/>
          <w:szCs w:val="48"/>
        </w:rPr>
      </w:pPr>
      <w:bookmarkStart w:id="0" w:name="OLE_LINK1"/>
      <w:r>
        <w:rPr>
          <w:rFonts w:hint="eastAsia" w:ascii="_x000B__x000C_" w:hAnsi="_x000B__x000C_"/>
          <w:b/>
          <w:sz w:val="48"/>
          <w:szCs w:val="48"/>
          <w:lang w:eastAsia="zh-CN"/>
        </w:rPr>
        <w:t>雪堰</w:t>
      </w:r>
      <w:r>
        <w:rPr>
          <w:rFonts w:hint="eastAsia" w:ascii="_x000B__x000C_" w:hAnsi="_x000B__x000C_"/>
          <w:b/>
          <w:sz w:val="48"/>
          <w:szCs w:val="48"/>
        </w:rPr>
        <w:t>中心小学集体备课记录表</w:t>
      </w:r>
    </w:p>
    <w:p w14:paraId="7FD96B4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Fonts w:hint="default" w:ascii="_x000B__x000C_" w:hAnsi="_x000B__x000C_"/>
          <w:b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  <w:t>学科：</w:t>
      </w:r>
      <w:r>
        <w:rPr>
          <w:rFonts w:hint="eastAsia" w:eastAsia="宋体" w:cs="宋体"/>
          <w:b w:val="0"/>
          <w:bCs/>
          <w:sz w:val="28"/>
          <w:szCs w:val="28"/>
          <w:lang w:val="en-US" w:eastAsia="zh-CN"/>
        </w:rPr>
        <w:t>语文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 xml:space="preserve">    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-202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第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学期   第</w:t>
      </w:r>
      <w:r>
        <w:rPr>
          <w:rFonts w:hint="eastAsia" w:cs="宋体"/>
          <w:b w:val="0"/>
          <w:bCs/>
          <w:sz w:val="28"/>
          <w:szCs w:val="28"/>
          <w:lang w:val="en-US" w:eastAsia="zh-CN"/>
        </w:rPr>
        <w:t xml:space="preserve"> 十六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周</w:t>
      </w:r>
    </w:p>
    <w:tbl>
      <w:tblPr>
        <w:tblStyle w:val="3"/>
        <w:tblpPr w:leftFromText="180" w:rightFromText="180" w:vertAnchor="text" w:horzAnchor="margin" w:tblpXSpec="center" w:tblpY="176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1"/>
        <w:gridCol w:w="1927"/>
        <w:gridCol w:w="1267"/>
        <w:gridCol w:w="1606"/>
        <w:gridCol w:w="547"/>
        <w:gridCol w:w="1260"/>
        <w:gridCol w:w="1260"/>
      </w:tblGrid>
      <w:tr w14:paraId="6AF23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7C5C521C">
            <w:pPr>
              <w:pStyle w:val="2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时  间</w:t>
            </w:r>
          </w:p>
        </w:tc>
        <w:tc>
          <w:tcPr>
            <w:tcW w:w="1927" w:type="dxa"/>
            <w:tcBorders>
              <w:left w:val="inset" w:color="auto" w:sz="6" w:space="0"/>
            </w:tcBorders>
            <w:noWrap w:val="0"/>
            <w:vAlign w:val="top"/>
          </w:tcPr>
          <w:p w14:paraId="0EC26DFE">
            <w:pPr>
              <w:pStyle w:val="2"/>
              <w:wordWrap w:val="0"/>
              <w:jc w:val="both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 w:val="0"/>
                <w:bCs/>
                <w:sz w:val="28"/>
                <w:szCs w:val="28"/>
                <w:lang w:val="en-US" w:eastAsia="zh-CN"/>
              </w:rPr>
              <w:t>2026、6、15</w:t>
            </w:r>
          </w:p>
        </w:tc>
        <w:tc>
          <w:tcPr>
            <w:tcW w:w="1267" w:type="dxa"/>
            <w:tcBorders>
              <w:left w:val="inset" w:color="auto" w:sz="6" w:space="0"/>
            </w:tcBorders>
            <w:noWrap w:val="0"/>
            <w:vAlign w:val="top"/>
          </w:tcPr>
          <w:p w14:paraId="3085A57F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地点</w:t>
            </w:r>
          </w:p>
        </w:tc>
        <w:tc>
          <w:tcPr>
            <w:tcW w:w="2153" w:type="dxa"/>
            <w:gridSpan w:val="2"/>
            <w:tcBorders>
              <w:left w:val="inset" w:color="auto" w:sz="6" w:space="0"/>
            </w:tcBorders>
            <w:noWrap w:val="0"/>
            <w:vAlign w:val="top"/>
          </w:tcPr>
          <w:p w14:paraId="16EF2808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办公室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top"/>
          </w:tcPr>
          <w:p w14:paraId="03477479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次数</w:t>
            </w:r>
          </w:p>
        </w:tc>
        <w:tc>
          <w:tcPr>
            <w:tcW w:w="1260" w:type="dxa"/>
            <w:tcBorders>
              <w:left w:val="inset" w:color="auto" w:sz="6" w:space="0"/>
            </w:tcBorders>
            <w:noWrap w:val="0"/>
            <w:vAlign w:val="top"/>
          </w:tcPr>
          <w:p w14:paraId="774E19E8">
            <w:pPr>
              <w:pStyle w:val="2"/>
              <w:wordWrap w:val="0"/>
              <w:jc w:val="center"/>
              <w:rPr>
                <w:rFonts w:hint="eastAsia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 w:val="0"/>
                <w:bCs/>
                <w:sz w:val="28"/>
                <w:szCs w:val="28"/>
                <w:lang w:val="en-US" w:eastAsia="zh-CN"/>
              </w:rPr>
              <w:t>1</w:t>
            </w:r>
          </w:p>
        </w:tc>
      </w:tr>
      <w:tr w14:paraId="58782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7B8F414B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主讲人</w:t>
            </w:r>
          </w:p>
        </w:tc>
        <w:tc>
          <w:tcPr>
            <w:tcW w:w="3194" w:type="dxa"/>
            <w:gridSpan w:val="2"/>
            <w:tcBorders>
              <w:left w:val="inset" w:color="auto" w:sz="6" w:space="0"/>
              <w:right w:val="single" w:color="auto" w:sz="4" w:space="0"/>
            </w:tcBorders>
            <w:noWrap w:val="0"/>
            <w:vAlign w:val="center"/>
          </w:tcPr>
          <w:p w14:paraId="7BA0F6B1">
            <w:pPr>
              <w:pStyle w:val="2"/>
              <w:ind w:firstLine="686" w:firstLineChars="245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_x000B__x000C_" w:hAnsi="_x000B__x000C_"/>
                <w:b w:val="0"/>
                <w:bCs/>
                <w:sz w:val="28"/>
                <w:szCs w:val="28"/>
                <w:lang w:val="en-US" w:eastAsia="zh-CN"/>
              </w:rPr>
              <w:t xml:space="preserve">吴乔伊 </w:t>
            </w:r>
          </w:p>
        </w:tc>
        <w:tc>
          <w:tcPr>
            <w:tcW w:w="1606" w:type="dxa"/>
            <w:tcBorders>
              <w:left w:val="thinThickLargeGap" w:color="auto" w:sz="4" w:space="0"/>
              <w:bottom w:val="thinThickLargeGap" w:color="auto" w:sz="0" w:space="0"/>
              <w:right w:val="single" w:color="auto" w:sz="0" w:space="0"/>
            </w:tcBorders>
            <w:noWrap w:val="0"/>
            <w:vAlign w:val="top"/>
          </w:tcPr>
          <w:p w14:paraId="46AA8AAF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记录员</w:t>
            </w:r>
          </w:p>
        </w:tc>
        <w:tc>
          <w:tcPr>
            <w:tcW w:w="3067" w:type="dxa"/>
            <w:gridSpan w:val="3"/>
            <w:tcBorders>
              <w:top w:val="double" w:color="auto" w:sz="0" w:space="0"/>
              <w:left w:val="single" w:color="auto" w:sz="4" w:space="0"/>
              <w:bottom w:val="single" w:color="auto" w:sz="0" w:space="0"/>
              <w:right w:val="dashSmallGap" w:color="auto" w:sz="0" w:space="0"/>
            </w:tcBorders>
            <w:noWrap w:val="0"/>
            <w:vAlign w:val="center"/>
          </w:tcPr>
          <w:p w14:paraId="7B1DDB45">
            <w:pPr>
              <w:pStyle w:val="2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 w:val="0"/>
                <w:bCs/>
                <w:sz w:val="28"/>
                <w:szCs w:val="28"/>
                <w:lang w:val="en-US" w:eastAsia="zh-CN"/>
              </w:rPr>
              <w:t>吴宸娴</w:t>
            </w:r>
          </w:p>
        </w:tc>
      </w:tr>
      <w:tr w14:paraId="2702C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28697657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参加人员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0BBBC2A5">
            <w:pPr>
              <w:pStyle w:val="2"/>
              <w:wordWrap w:val="0"/>
              <w:jc w:val="center"/>
              <w:rPr>
                <w:rFonts w:hint="default" w:ascii="_x000B__x000C_" w:hAnsi="_x000B__x000C_" w:eastAsia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_x000B__x000C_" w:hAnsi="_x000B__x000C_"/>
                <w:b w:val="0"/>
                <w:bCs/>
                <w:sz w:val="28"/>
                <w:szCs w:val="28"/>
                <w:lang w:val="en-US" w:eastAsia="zh-CN"/>
              </w:rPr>
              <w:t xml:space="preserve">陈玲霞    郭静 杨晓 </w:t>
            </w:r>
            <w:r>
              <w:rPr>
                <w:rFonts w:hint="eastAsia"/>
                <w:lang w:val="en-US" w:eastAsia="zh-CN"/>
              </w:rPr>
              <w:t>钱洪波</w:t>
            </w:r>
            <w:r>
              <w:rPr>
                <w:rFonts w:hint="eastAsia" w:ascii="_x000B__x000C_" w:hAnsi="_x000B__x000C_"/>
                <w:b w:val="0"/>
                <w:bCs/>
                <w:sz w:val="28"/>
                <w:szCs w:val="28"/>
                <w:lang w:val="en-US" w:eastAsia="zh-CN"/>
              </w:rPr>
              <w:t xml:space="preserve">   陆彩红 董育兰</w:t>
            </w:r>
          </w:p>
        </w:tc>
      </w:tr>
      <w:tr w14:paraId="3B8A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79857AE0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研讨主题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center"/>
          </w:tcPr>
          <w:p w14:paraId="74D40E83">
            <w:pPr>
              <w:pStyle w:val="2"/>
              <w:wordWrap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第二次期末复习专题研讨</w:t>
            </w:r>
          </w:p>
          <w:p w14:paraId="08E1FA24">
            <w:pPr>
              <w:pStyle w:val="2"/>
              <w:wordWrap w:val="0"/>
              <w:jc w:val="center"/>
              <w:rPr>
                <w:rFonts w:hint="default" w:ascii="_x000B__x000C_" w:hAnsi="_x000B__x000C_" w:eastAsia="宋体"/>
                <w:b/>
                <w:lang w:val="en-US" w:eastAsia="zh-CN"/>
              </w:rPr>
            </w:pPr>
          </w:p>
        </w:tc>
      </w:tr>
      <w:tr w14:paraId="22885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57" w:hRule="atLeast"/>
          <w:jc w:val="center"/>
        </w:trPr>
        <w:tc>
          <w:tcPr>
            <w:tcW w:w="1421" w:type="dxa"/>
            <w:tcBorders>
              <w:right w:val="inset" w:color="auto" w:sz="6" w:space="0"/>
            </w:tcBorders>
            <w:noWrap w:val="0"/>
            <w:vAlign w:val="top"/>
          </w:tcPr>
          <w:p w14:paraId="035FB892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6BC83C9F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过</w:t>
            </w:r>
          </w:p>
          <w:p w14:paraId="086C1347">
            <w:pPr>
              <w:pStyle w:val="2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239925FA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程</w:t>
            </w:r>
          </w:p>
          <w:p w14:paraId="565DAFF1">
            <w:pPr>
              <w:pStyle w:val="2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34485C6E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记</w:t>
            </w:r>
          </w:p>
          <w:p w14:paraId="57B8B042">
            <w:pPr>
              <w:pStyle w:val="2"/>
              <w:wordWrap w:val="0"/>
              <w:rPr>
                <w:rFonts w:hint="eastAsia" w:ascii="_x000B__x000C_" w:hAnsi="_x000B__x000C_"/>
                <w:b/>
                <w:sz w:val="28"/>
                <w:szCs w:val="28"/>
              </w:rPr>
            </w:pPr>
          </w:p>
          <w:p w14:paraId="1C0B028E">
            <w:pPr>
              <w:pStyle w:val="2"/>
              <w:wordWrap w:val="0"/>
              <w:jc w:val="center"/>
              <w:rPr>
                <w:rFonts w:hint="eastAsia" w:ascii="_x000B__x000C_" w:hAnsi="_x000B__x000C_"/>
                <w:b/>
                <w:sz w:val="28"/>
                <w:szCs w:val="28"/>
              </w:rPr>
            </w:pPr>
            <w:r>
              <w:rPr>
                <w:rFonts w:hint="eastAsia" w:ascii="_x000B__x000C_" w:hAnsi="_x000B__x000C_"/>
                <w:b/>
                <w:sz w:val="28"/>
                <w:szCs w:val="28"/>
              </w:rPr>
              <w:t>录</w:t>
            </w:r>
          </w:p>
        </w:tc>
        <w:tc>
          <w:tcPr>
            <w:tcW w:w="7867" w:type="dxa"/>
            <w:gridSpan w:val="6"/>
            <w:tcBorders>
              <w:left w:val="inset" w:color="auto" w:sz="6" w:space="0"/>
            </w:tcBorders>
            <w:noWrap w:val="0"/>
            <w:vAlign w:val="top"/>
          </w:tcPr>
          <w:p w14:paraId="5B64F896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前期复习复盘与问题汇总</w:t>
            </w:r>
          </w:p>
          <w:p w14:paraId="5BB4CC54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全体教师结合各班学情、模拟测试数据、作业错题情况，统一梳理第一轮复习后学生存在的共性问题和个性问题，具体汇总如下：</w:t>
            </w:r>
          </w:p>
          <w:p w14:paraId="3C92D71B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（一）共性薄弱问题</w:t>
            </w:r>
          </w:p>
          <w:p w14:paraId="71B49913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 基础知识：灵活运用能力薄弱</w:t>
            </w:r>
          </w:p>
          <w:p w14:paraId="7C2ED4EA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学生对生字、词语、日积月累等机械记忆内容掌握较好，但易错题集中在多音字辨析、形近字组词、近义词反义词灵活运用、关联词填空、修改病句等题型。多数学生只会死记硬背，无法结合具体语境判断答案，题型稍作变换就容易出错。同时，部分学生卷面书写不规范，错别字、标点使用错误、字迹潦草问题依然存在。</w:t>
            </w:r>
          </w:p>
          <w:p w14:paraId="280648C7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2. 阅读理解：答题不规范、思路不清晰</w:t>
            </w:r>
          </w:p>
          <w:p w14:paraId="5A75795A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课内阅读基础题型得分率较高，但课外阅读是主要失分点。一是学生审题不细致，容易漏看题目要求、答非所问；二是答题缺乏方法，概括段落大意、提取关键信息、体会句子情感、赏析关键词句等题型，答题语言口语化、不完整，要点缺失；三是不会结合文本找依据，主观题全凭主观想象作答，脱离原文内容。</w:t>
            </w:r>
          </w:p>
          <w:p w14:paraId="30DD768F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3. 口语交际与习作：细节欠缺、内容空洞</w:t>
            </w:r>
          </w:p>
          <w:p w14:paraId="27F76566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口语交际答题存在逻辑混乱、语句不通顺、不符合场景要求的问题。习作方面，大部分学生能完成基本写作任务，但普遍存在内容平淡空洞、缺乏细节描写，动作、神态、心理描写单一，流水账现象严重；部分学生结构混乱，开头结尾生硬，段落划分不合理；同时存在标点乱用、语句重复、错别字较多、字数不达标等细节问题。</w:t>
            </w:r>
          </w:p>
          <w:p w14:paraId="71238D7E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4. 答题习惯：失分隐患突出</w:t>
            </w:r>
          </w:p>
          <w:p w14:paraId="55FC925B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学生普遍存在做题急躁、粗心大意的问题，做完不检查，漏题、错题、抄错字现象频发；答题格式不规范，简答题不分点、答题留白过多，整体答题规范性不足。</w:t>
            </w:r>
          </w:p>
          <w:p w14:paraId="4484CB7D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</w:p>
          <w:p w14:paraId="5A3D24F0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各班个性问题</w:t>
            </w:r>
          </w:p>
          <w:p w14:paraId="2EEBB495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 部分班级学困生基础薄弱，字词、背诵内容掌握不扎实，基础题失分严重，跟不上整体复习节奏；</w:t>
            </w:r>
          </w:p>
          <w:p w14:paraId="3325890F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2. 部分班级优等生存在“轻敌”心态，基础题粗心失分，阅读理解和习作缺乏亮点，难以拔高得分；</w:t>
            </w:r>
          </w:p>
          <w:p w14:paraId="670B009B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3. 个别中等生知识掌握碎片化，题型适配能力差，同类题目反复出错，知识迁移能力不足。</w:t>
            </w:r>
          </w:p>
          <w:p w14:paraId="28C5E386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专题研讨：期末冲刺优化复习策略</w:t>
            </w:r>
          </w:p>
          <w:p w14:paraId="7E89EE83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针对以上问题，全体教师共同研讨，结合三年级学生认知特点和期末考纲要求，统一冲刺阶段复习思路、复习重点、教学方法，确定分层复习、专项突破、规范答题、查漏补缺的核心复习方案。</w:t>
            </w:r>
          </w:p>
          <w:p w14:paraId="19D33A33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（一）基础知识：靶向纠错，强化运用</w:t>
            </w:r>
          </w:p>
          <w:p w14:paraId="5DF3991E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 摒弃机械重复的抄写背诵，开展易错点专项过关训练。整理全册多音字、形近字、易错词语、病句类型、关联词、标点用法，制作班级易错题库，每天进行10分钟专项小练，针对性攻克薄弱题型。</w:t>
            </w:r>
          </w:p>
          <w:p w14:paraId="2D7C1A72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2. 强化语境运用训练，不再单独考查字词默写，多采用选词填空、语境填词、句子改写等灵活题型，让学生在具体语境中掌握知识，提升知识迁移能力。</w:t>
            </w:r>
          </w:p>
          <w:p w14:paraId="3DDE92E1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3. 落实每日过关制度：每日抽查背诵、听写易错字词，建立学生个人错题本，要求学生及时订正错题、标注错误原因，教师定期抽查复盘，杜绝重复犯错。</w:t>
            </w:r>
          </w:p>
          <w:p w14:paraId="4A055EFA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4. 严抓书写规范，作业、练习、测试全程要求工整书写，重点纠正错别字、连笔字、标点错位问题，养成规范书写习惯。</w:t>
            </w:r>
          </w:p>
          <w:p w14:paraId="426EE755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（二）阅读理解：精讲方法，规范答题</w:t>
            </w:r>
          </w:p>
          <w:p w14:paraId="336B084C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 分类开展阅读专项训练，分为课内阅读巩固、记叙文课外阅读专项两大模块。课内阅读聚焦重点段落、中心思想、重难点句子解析，做到零失分；课外阅读重点教授解题方法，总结答题模板。</w:t>
            </w:r>
          </w:p>
          <w:p w14:paraId="577091C4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2. 统一教给学生基础答题技巧：审题圈画关键词、回归文本找答案、答题分点作答、语言规范完整。针对概括内容、体会情感、词语赏析、句子作用等高频题型，梳理标准化答题思路，精讲典型例题。</w:t>
            </w:r>
          </w:p>
          <w:p w14:paraId="67618D3D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3. 采用“讲—练—评—改”闭环复习模式，每节课精讲1类题型，当堂练习、当堂批改、当堂纠错，针对共性错题全班讲解，个性问题单独辅导。</w:t>
            </w:r>
          </w:p>
          <w:p w14:paraId="4D0F1709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4. 培养阅读答题依据意识，要求学生所有主观题答案必须在原文中找到对应依据，杜绝凭空作答。</w:t>
            </w:r>
          </w:p>
          <w:p w14:paraId="3BA39F1D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（三）习作专项：细化指导，打磨亮点</w:t>
            </w:r>
          </w:p>
          <w:p w14:paraId="0DA985FF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</w:p>
          <w:p w14:paraId="293A8AEE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 梳理本册8个单元习作主题，归类写人、记事、写景、状物四大类习作，针对性开展专项复盘训练，重点巩固学生薄弱的记事、写人习作。</w:t>
            </w:r>
          </w:p>
          <w:p w14:paraId="65928346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2. 弱化框架套路，强化细节描写训练。专项练习动作、神态、心理、环境描写，指导学生巧用修辞、积累的好词好句，摆脱流水账写作，丰富文章内容。</w:t>
            </w:r>
          </w:p>
          <w:p w14:paraId="07E992AD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3. 统一习作评分标准，针对开头结尾、段落结构、细节内容、语句通顺、书写标点五个维度，让学生明确扣分点和得分亮点。开展习作互评、师评、二次修改活动，让学生在修改中提升写作能力。</w:t>
            </w:r>
          </w:p>
          <w:p w14:paraId="187E5E22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4. 整理优秀习作范文、精彩片段，让学生积累借鉴，同时规范习作格式，杜绝段落不分、标点乱用、字数不足等问题。</w:t>
            </w:r>
          </w:p>
          <w:p w14:paraId="1A6B7510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（四）分层辅导：精准施策，全员提分</w:t>
            </w:r>
          </w:p>
          <w:p w14:paraId="0142D2C5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 学困生（基础薄弱）：聚焦基础得分点，放弃难题攻坚，重点抓字词、背诵、简单句式、基础阅读题，一对一落实每日过关，保证基础题不丢分；简化作业和练习内容，降低复习难度，树立复习信心。</w:t>
            </w:r>
          </w:p>
          <w:p w14:paraId="55FBF35B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2. 中等生（稳分提升）：重点突破知识灵活运用和阅读答题规范，强化错题复盘，针对性训练高频易错题型，补齐知识短板，稳定基础分、提升中档题得分率。</w:t>
            </w:r>
          </w:p>
          <w:p w14:paraId="1AE14FAA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3. 优等生（拔高提优）：减少基础重复训练，增加课外阅读拓展、习作创意表达、难题变式训练，指导习作打磨亮点、阅读深度答题，突破高分瓶颈。</w:t>
            </w:r>
          </w:p>
          <w:p w14:paraId="171C5EB8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（五）习惯养成：严控细节，减少过失失分</w:t>
            </w:r>
          </w:p>
          <w:p w14:paraId="1322416E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 每次练习、模拟测试严格模拟考试流程，训练学生合理分配答题时间，避免前松后紧、做题拖沓。</w:t>
            </w:r>
          </w:p>
          <w:p w14:paraId="37C71B81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2. 强制培养检查习惯，教给学生检查方法：先查漏题、再查字词标点、最后查答题内容，从细节减少过失性失分。</w:t>
            </w:r>
          </w:p>
          <w:p w14:paraId="3AA5B435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四、后续复习工作安排</w:t>
            </w:r>
          </w:p>
          <w:p w14:paraId="788A05D6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1. 时间安排：剩余复习时间分为两个阶段，第一阶段（专项突破期）：各类题型专项训练、错题复盘、分层辅导；第二阶段（模拟冲刺期）：整套试卷模拟检测、查漏补缺、考前心态指导。</w:t>
            </w:r>
          </w:p>
          <w:p w14:paraId="72B85FFB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2. 资料统一：全体教师统一使用教研组整理的易错题库、阅读答题模板、习作素材、模拟试卷，统一复习进度、统一重难点、统一批改标准。</w:t>
            </w:r>
          </w:p>
          <w:p w14:paraId="078599FA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3. 检测安排：每周开展2次全真模拟测试，及时批改、数据分析、错题精讲，每次测试后汇总班级薄弱点，调整次日复习内容。</w:t>
            </w:r>
          </w:p>
          <w:p w14:paraId="2F88FF7B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4. 家校配合：通过家校沟通，告知家长学生近期复习短板，指导家长配合督促孩子每日背诵、错题订正、课外阅读，做好居家复习辅助工作。</w:t>
            </w:r>
          </w:p>
          <w:p w14:paraId="11DA7EC3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五、研讨总结</w:t>
            </w:r>
          </w:p>
          <w:p w14:paraId="25F6619C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</w:p>
          <w:p w14:paraId="45A0906E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本次研讨精准复盘了第一轮复习的短板问题，聚焦期末冲刺核心目标，统一了全年级语文期末复习策略。冲刺阶段，全体教师将摒弃低效复习模式，以查漏补缺、专项突破、规范答题、分层提优为核心，精准对接学生薄弱点，抓实基础知识、突破阅读习作难点、纠正不良答题习惯。</w:t>
            </w:r>
          </w:p>
          <w:p w14:paraId="2444BF8D">
            <w:pPr>
              <w:spacing w:line="400" w:lineRule="exact"/>
              <w:rPr>
                <w:rFonts w:hint="eastAsia"/>
                <w:b w:val="0"/>
                <w:bCs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/>
                <w:b w:val="0"/>
                <w:bCs/>
                <w:lang w:val="en-US" w:eastAsia="zh-CN"/>
              </w:rPr>
              <w:t>在后续复习中，立足学情、精准施策，抓好每一节复习课、每一次练习、每一次订正，兼顾全员提升与个体培优补差，切实提升学生的语文综合运用能力，最大限度减少过失性失分，全力保障期末教学质量稳步提升，助力学生取得理想的期末成绩。</w:t>
            </w:r>
          </w:p>
          <w:p w14:paraId="7BA3C27C">
            <w:pPr>
              <w:spacing w:line="400" w:lineRule="exact"/>
              <w:rPr>
                <w:rFonts w:hint="default"/>
                <w:b/>
                <w:lang w:val="en-US" w:eastAsia="zh-CN"/>
              </w:rPr>
            </w:pPr>
          </w:p>
        </w:tc>
      </w:tr>
      <w:bookmarkEnd w:id="0"/>
    </w:tbl>
    <w:p w14:paraId="2E2571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AC30CE"/>
    <w:rsid w:val="0C760F26"/>
    <w:rsid w:val="0C802AB2"/>
    <w:rsid w:val="0E5C414B"/>
    <w:rsid w:val="11DA3444"/>
    <w:rsid w:val="19BA3F19"/>
    <w:rsid w:val="1A67270E"/>
    <w:rsid w:val="1AFD1BD2"/>
    <w:rsid w:val="1E494286"/>
    <w:rsid w:val="1FBB02D7"/>
    <w:rsid w:val="1FDD3B77"/>
    <w:rsid w:val="20171B62"/>
    <w:rsid w:val="2D57204D"/>
    <w:rsid w:val="337E053C"/>
    <w:rsid w:val="36B35A41"/>
    <w:rsid w:val="379D2F5B"/>
    <w:rsid w:val="3C973863"/>
    <w:rsid w:val="47511E37"/>
    <w:rsid w:val="47E40D60"/>
    <w:rsid w:val="4B895879"/>
    <w:rsid w:val="5D7D0CDF"/>
    <w:rsid w:val="612A7DFA"/>
    <w:rsid w:val="66506631"/>
    <w:rsid w:val="6C4C3D60"/>
    <w:rsid w:val="783E4905"/>
    <w:rsid w:val="7D4B7BD4"/>
    <w:rsid w:val="7F0D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2254</Words>
  <Characters>2295</Characters>
  <Lines>0</Lines>
  <Paragraphs>0</Paragraphs>
  <TotalTime>5</TotalTime>
  <ScaleCrop>false</ScaleCrop>
  <LinksUpToDate>false</LinksUpToDate>
  <CharactersWithSpaces>2358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2025-02-25T02:39:00Z</dcterms:created>
  <dc:creator>www39</dc:creator>
  <cp:lastModifiedBy>WPS_1172282752</cp:lastModifiedBy>
  <dcterms:modified xsi:type="dcterms:W3CDTF">2026-06-23T01:27:36Z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eyJoZGlkIjoiNGYwYmJhNTgwMDkxMjdiZjhhMjg0NWZjZmViYzJkOWYiLCJ1c2VySWQiOiIxMTcyMjgyNzUyIn0=</vt:lpwstr>
  </property>
  <property fmtid="{D5CDD505-2E9C-101B-9397-08002B2CF9AE}" pid="4" name="ICV">
    <vt:lpwstr>38CFDB8E81454349922E73BC30023239_12</vt:lpwstr>
  </property>
</Properties>
</file>