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23名幼儿想要学做小学生，15名幼儿好奇小学生课间会做些什么，28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2.区域材料：建构区提供小学建筑图片，鼓励幼儿搭建“我想象中的小学”；美工区提供画纸画笔，供幼儿绘画“我猜小学的样子”；阅读区增加关于小学的绘本。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、积木建构---小学操场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4.益智区：排座位、五子棋等；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6.科探区：探索火箭发射器、空气炮、电路等。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沈雨蒙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1.半日活动:参观小学          2.社会：任务小能手       3.综合：我的小书包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4.律动：小卓玛上学           5.数学：一周有7天  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：有趣的转动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木工坊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搭建小学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</w:rPr>
              <w:t>障碍跑步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戴颖、沈雨蒙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戴颖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F12FFD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1216</Words>
  <Characters>1249</Characters>
  <Lines>8</Lines>
  <Paragraphs>2</Paragraphs>
  <TotalTime>0</TotalTime>
  <ScaleCrop>false</ScaleCrop>
  <LinksUpToDate>false</LinksUpToDate>
  <CharactersWithSpaces>1295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诺宝妈</cp:lastModifiedBy>
  <cp:lastPrinted>2022-02-25T06:21:00Z</cp:lastPrinted>
  <dcterms:modified xsi:type="dcterms:W3CDTF">2026-03-24T05:17:33Z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72AB293B93F04D6E98B4FBDA543D349A_13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