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经过2周的活动</w:t>
            </w:r>
            <w:r>
              <w:rPr>
                <w:rFonts w:hint="eastAsia"/>
              </w:rPr>
              <w:t>，幼儿沉浸在与同伴和谐相处的欢乐氛围里，每一次合作游戏、每一回矛盾化解后的相视一笑，都让他们真切体会到同伴间相互陪伴、彼此帮助带来的愉悦。</w:t>
            </w:r>
            <w:r>
              <w:rPr>
                <w:rFonts w:hint="eastAsia"/>
                <w:lang w:val="en-US" w:eastAsia="zh-CN"/>
              </w:rPr>
              <w:t>同时在活动中他们不由地</w:t>
            </w:r>
            <w:r>
              <w:rPr>
                <w:rFonts w:hint="eastAsia"/>
              </w:rPr>
              <w:t>想起家人那些充满爱意的关心与细致入微的照顾。通过平时的交流，我们了解到所有幼儿都能认识到家人对自己的照顾，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位幼儿知道家人工作很辛苦，但只有1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位幼儿会在不经意间表现出对家人平时照顾的感激之情，表示会在家中帮忙做一些力所能及的事，如：扫地、洗碗、叠衣服等等，而其余的幼儿则不擅表达，更缺乏主动性。为深化幼儿对家庭的责任意识，我们将进一步感染幼儿，让他们把内心的感恩之情，化作对家人的实实在在的关心与行动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2F6035D9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通过多种途径和方法认识、了解自己的家庭，并用较完整且连贯的语言表达出家庭带来的温暖和快乐。</w:t>
            </w:r>
          </w:p>
          <w:p w14:paraId="4ED21EED">
            <w:pPr>
              <w:snapToGrid w:val="0"/>
              <w:spacing w:line="306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.理解家庭成员间相互照顾、相互关爱的重要性，</w:t>
            </w:r>
            <w:r>
              <w:rPr>
                <w:rFonts w:hint="eastAsia" w:ascii="宋体" w:hAnsi="宋体"/>
                <w:szCs w:val="21"/>
              </w:rPr>
              <w:t>乐意做家庭的小主人。</w:t>
            </w:r>
          </w:p>
          <w:p w14:paraId="681513C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.通过绘画创作、手工制作等方式，创造性地展现自己对家人的关爱之情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456467">
            <w:pPr>
              <w:autoSpaceDE w:val="0"/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1.丰富并完善班级环境，张贴幼儿作品《我妈妈》</w:t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我的一家》</w:t>
            </w:r>
            <w:r>
              <w:rPr>
                <w:rFonts w:hint="eastAsia" w:ascii="宋体" w:hAnsi="宋体"/>
              </w:rPr>
              <w:t>。</w:t>
            </w:r>
          </w:p>
          <w:p w14:paraId="4CD4460E">
            <w:pPr>
              <w:autoSpaceDE w:val="0"/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美工区投放折纸、剪纸、绘画等材料供幼儿制作节日卡片、礼物等作品；图书区投放《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好奶奶</w:t>
            </w:r>
            <w:r>
              <w:rPr>
                <w:rFonts w:hint="eastAsia" w:ascii="宋体" w:hAnsi="宋体"/>
                <w:szCs w:val="21"/>
              </w:rPr>
              <w:t>》等绘本供幼儿自主阅读；建构区提供温馨的家图片，供幼儿计划搭建。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5DA7F3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1.进餐时保持桌面整洁，进餐结束后能有序分类摆放餐具。</w:t>
            </w:r>
          </w:p>
          <w:p w14:paraId="06E819ED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自主穿脱衣服，能根据冷热增减衣服，并将衣服整齐摆放在固定位置。</w:t>
            </w:r>
          </w:p>
          <w:p w14:paraId="01226DE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</w:rPr>
              <w:t>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D042E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美工区：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泥工《</w:t>
            </w:r>
            <w:r>
              <w:rPr>
                <w:rFonts w:hint="eastAsia" w:ascii="宋体" w:hAnsi="宋体" w:cs="宋体"/>
                <w:color w:val="000000"/>
              </w:rPr>
              <w:t>漂亮妈妈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</w:rPr>
              <w:t>、手工制作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我的一家》</w:t>
            </w:r>
            <w:r>
              <w:rPr>
                <w:rFonts w:hint="eastAsia" w:ascii="宋体" w:hAnsi="宋体" w:cs="宋体"/>
                <w:color w:val="000000"/>
              </w:rPr>
              <w:t>等；</w:t>
            </w:r>
          </w:p>
          <w:p w14:paraId="3A11CF93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建构区：地面建构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</w:rPr>
              <w:t>温馨的家、桌面建构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我的家</w:t>
            </w:r>
            <w:r>
              <w:rPr>
                <w:rFonts w:hint="eastAsia" w:ascii="宋体" w:hAnsi="宋体" w:cs="宋体"/>
                <w:color w:val="000000"/>
              </w:rPr>
              <w:t>、万能工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我的小区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56A43E9D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图书区：绘本阅读《最温暖的家》、《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我爸爸</w:t>
            </w:r>
            <w:r>
              <w:rPr>
                <w:rFonts w:hint="eastAsia" w:ascii="宋体" w:hAnsi="宋体" w:cs="宋体"/>
                <w:color w:val="000000"/>
              </w:rPr>
              <w:t>》、《我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妈妈</w:t>
            </w:r>
            <w:r>
              <w:rPr>
                <w:rFonts w:hint="eastAsia" w:ascii="宋体" w:hAnsi="宋体" w:cs="宋体"/>
                <w:color w:val="000000"/>
              </w:rPr>
              <w:t>》；</w:t>
            </w:r>
          </w:p>
          <w:p w14:paraId="2CE63EB3">
            <w:pPr>
              <w:spacing w:line="3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科探区：</w:t>
            </w:r>
            <w:r>
              <w:rPr>
                <w:rFonts w:hint="eastAsia"/>
                <w:szCs w:val="21"/>
                <w:lang w:val="en-US" w:eastAsia="zh-CN"/>
              </w:rPr>
              <w:t>瓶子哈哈镜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镜中谜</w:t>
            </w:r>
            <w:r>
              <w:rPr>
                <w:rFonts w:hint="eastAsia"/>
                <w:szCs w:val="21"/>
              </w:rPr>
              <w:t>等；</w:t>
            </w:r>
          </w:p>
          <w:p w14:paraId="25929EE3">
            <w:pPr>
              <w:spacing w:line="30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益智区：马赛克拼图、蔬菜数独。</w:t>
            </w:r>
          </w:p>
          <w:p w14:paraId="52C7CB0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关注要点：1.沈：</w:t>
            </w:r>
            <w:r>
              <w:rPr>
                <w:rFonts w:hint="eastAsia" w:ascii="宋体" w:hAnsi="宋体" w:cs="宋体"/>
                <w:color w:val="000000"/>
              </w:rPr>
              <w:t>关注幼儿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在美工区的场景性创作、多元材料使用与布局搭配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</w:p>
          <w:p w14:paraId="37F3B90B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2.徐：</w:t>
            </w:r>
            <w:r>
              <w:rPr>
                <w:rFonts w:hint="eastAsia"/>
                <w:szCs w:val="21"/>
              </w:rPr>
              <w:t>关注幼儿在</w:t>
            </w:r>
            <w:r>
              <w:rPr>
                <w:rFonts w:hint="eastAsia"/>
                <w:szCs w:val="21"/>
                <w:lang w:val="en-US" w:eastAsia="zh-CN"/>
              </w:rPr>
              <w:t>科探区中探究、合作与交流以及记录表征</w:t>
            </w:r>
            <w:r>
              <w:rPr>
                <w:rFonts w:hint="eastAsia"/>
                <w:szCs w:val="21"/>
              </w:rPr>
              <w:t>情况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F597EE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1.语言：我妈妈          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科学：我从哪里来       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美术：全家福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074D8A54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4.儿歌：大家都爱这个家  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半日活动：一起去种植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每周一整理：整理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建构区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镜子作画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2.专用活动室：美工室《一家人》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太阳与镜面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沈霏、徐萍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沈霏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3F0A2D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1F41AD7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B95E1DD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1155</Words>
  <Characters>1179</Characters>
  <Lines>9</Lines>
  <Paragraphs>2</Paragraphs>
  <TotalTime>11</TotalTime>
  <ScaleCrop>false</ScaleCrop>
  <LinksUpToDate>false</LinksUpToDate>
  <CharactersWithSpaces>1197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2022-03-18T21:37:00Z</dcterms:created>
  <dc:creator>雨林木风</dc:creator>
  <cp:lastModifiedBy>七天七夜整整七斤作业</cp:lastModifiedBy>
  <cp:lastPrinted>2023-09-23T15:37:00Z</cp:lastPrinted>
  <dcterms:modified xsi:type="dcterms:W3CDTF">2026-03-13T05:11:41Z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336E85FC42B87D47E397B369BC34B2EF_43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