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8C999">
      <w:pPr>
        <w:spacing w:after="156" w:afterLines="50" w:line="560" w:lineRule="exact"/>
        <w:jc w:val="both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附件1</w:t>
      </w:r>
      <w:bookmarkStart w:id="0" w:name="_GoBack"/>
      <w:bookmarkEnd w:id="0"/>
    </w:p>
    <w:p w14:paraId="6F20C24F">
      <w:pPr>
        <w:spacing w:after="156" w:afterLines="50"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常州开放大学产教融合型课程建设指标体系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6720"/>
        <w:gridCol w:w="709"/>
      </w:tblGrid>
      <w:tr w14:paraId="67DDB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17" w:type="dxa"/>
            <w:gridSpan w:val="2"/>
            <w:vAlign w:val="center"/>
          </w:tcPr>
          <w:p w14:paraId="4904679F">
            <w:pPr>
              <w:jc w:val="center"/>
              <w:rPr>
                <w:rFonts w:ascii="黑体" w:hAnsi="黑体" w:eastAsia="黑体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kern w:val="0"/>
                <w:sz w:val="24"/>
                <w:highlight w:val="none"/>
              </w:rPr>
              <w:t>评价指标</w:t>
            </w:r>
          </w:p>
        </w:tc>
        <w:tc>
          <w:tcPr>
            <w:tcW w:w="709" w:type="dxa"/>
            <w:vMerge w:val="restart"/>
            <w:vAlign w:val="center"/>
          </w:tcPr>
          <w:p w14:paraId="7487EB38">
            <w:pPr>
              <w:jc w:val="center"/>
              <w:rPr>
                <w:rFonts w:ascii="黑体" w:hAnsi="黑体" w:eastAsia="黑体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kern w:val="0"/>
                <w:sz w:val="24"/>
                <w:highlight w:val="none"/>
              </w:rPr>
              <w:t>参考分值</w:t>
            </w:r>
          </w:p>
        </w:tc>
      </w:tr>
      <w:tr w14:paraId="170A8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7" w:type="dxa"/>
            <w:vAlign w:val="center"/>
          </w:tcPr>
          <w:p w14:paraId="6F320DAC">
            <w:pPr>
              <w:jc w:val="center"/>
              <w:rPr>
                <w:rFonts w:ascii="黑体" w:hAnsi="黑体" w:eastAsia="黑体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kern w:val="0"/>
                <w:sz w:val="24"/>
                <w:highlight w:val="none"/>
              </w:rPr>
              <w:t>一级指标</w:t>
            </w:r>
          </w:p>
        </w:tc>
        <w:tc>
          <w:tcPr>
            <w:tcW w:w="6720" w:type="dxa"/>
            <w:vAlign w:val="center"/>
          </w:tcPr>
          <w:p w14:paraId="37768646">
            <w:pPr>
              <w:jc w:val="center"/>
              <w:rPr>
                <w:rFonts w:ascii="黑体" w:hAnsi="黑体" w:eastAsia="黑体"/>
                <w:kern w:val="0"/>
                <w:sz w:val="24"/>
                <w:highlight w:val="none"/>
              </w:rPr>
            </w:pPr>
            <w:r>
              <w:rPr>
                <w:rFonts w:hint="eastAsia" w:ascii="黑体" w:hAnsi="黑体" w:eastAsia="黑体"/>
                <w:kern w:val="0"/>
                <w:sz w:val="24"/>
                <w:highlight w:val="none"/>
              </w:rPr>
              <w:t>二级指标</w:t>
            </w:r>
          </w:p>
        </w:tc>
        <w:tc>
          <w:tcPr>
            <w:tcW w:w="709" w:type="dxa"/>
            <w:vMerge w:val="continue"/>
            <w:vAlign w:val="center"/>
          </w:tcPr>
          <w:p w14:paraId="7B8F46B6">
            <w:pPr>
              <w:jc w:val="center"/>
              <w:rPr>
                <w:rFonts w:ascii="仿宋" w:hAnsi="仿宋" w:eastAsia="仿宋"/>
                <w:kern w:val="0"/>
                <w:sz w:val="24"/>
                <w:highlight w:val="none"/>
              </w:rPr>
            </w:pPr>
          </w:p>
        </w:tc>
      </w:tr>
      <w:tr w14:paraId="18960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497" w:type="dxa"/>
            <w:vMerge w:val="restart"/>
            <w:vAlign w:val="center"/>
          </w:tcPr>
          <w:p w14:paraId="136E7455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1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.建设基础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（1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0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6720" w:type="dxa"/>
            <w:vAlign w:val="center"/>
          </w:tcPr>
          <w:p w14:paraId="03B079C8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1.1 课程为纳入人才培养方案且设置学分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，已至少完成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一</w:t>
            </w:r>
            <w:r>
              <w:rPr>
                <w:rFonts w:hint="eastAsia" w:eastAsia="仿宋_GB2312"/>
                <w:color w:val="auto"/>
                <w:kern w:val="0"/>
                <w:sz w:val="24"/>
                <w:highlight w:val="none"/>
              </w:rPr>
              <w:t>轮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课程教学</w:t>
            </w:r>
            <w:r>
              <w:rPr>
                <w:rFonts w:eastAsia="仿宋_GB2312"/>
                <w:kern w:val="0"/>
                <w:sz w:val="24"/>
                <w:highlight w:val="none"/>
              </w:rPr>
              <w:t>的课程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建设基础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良好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，在同类课程中具有鲜明的产教融合特色。</w:t>
            </w:r>
          </w:p>
        </w:tc>
        <w:tc>
          <w:tcPr>
            <w:tcW w:w="709" w:type="dxa"/>
            <w:vAlign w:val="center"/>
          </w:tcPr>
          <w:p w14:paraId="541B96A2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3</w:t>
            </w:r>
          </w:p>
        </w:tc>
      </w:tr>
      <w:tr w14:paraId="11495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497" w:type="dxa"/>
            <w:vMerge w:val="continue"/>
            <w:vAlign w:val="center"/>
          </w:tcPr>
          <w:p w14:paraId="1752CFB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1E1DD3C1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1.2 注重在课程中融入创新教育思想观念、原则方法和精神指向；课程全面落实立德树人根本任务，注重结合专业生产实践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合理融入劳动教育目标，课程思政建设成效明显；课程育人效果良好。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★</w:t>
            </w:r>
          </w:p>
        </w:tc>
        <w:tc>
          <w:tcPr>
            <w:tcW w:w="709" w:type="dxa"/>
            <w:vAlign w:val="center"/>
          </w:tcPr>
          <w:p w14:paraId="698AA176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58FE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497" w:type="dxa"/>
            <w:vMerge w:val="continue"/>
            <w:vAlign w:val="center"/>
          </w:tcPr>
          <w:p w14:paraId="7C3F7E63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5416256B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1.3 校企共同研制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课程</w:t>
            </w:r>
            <w:r>
              <w:rPr>
                <w:rFonts w:eastAsia="仿宋_GB2312"/>
                <w:kern w:val="0"/>
                <w:sz w:val="24"/>
                <w:highlight w:val="none"/>
              </w:rPr>
              <w:t>标准、教学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计划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，共同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开展课程</w:t>
            </w:r>
            <w:r>
              <w:rPr>
                <w:rFonts w:eastAsia="仿宋_GB2312"/>
                <w:kern w:val="0"/>
                <w:sz w:val="24"/>
                <w:highlight w:val="none"/>
              </w:rPr>
              <w:t>建设、开发课程模块、完善教学内容。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数字化转型较好，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充分应用现代教育技术与方法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能有效支持多方协同实施课程教学。</w:t>
            </w:r>
          </w:p>
        </w:tc>
        <w:tc>
          <w:tcPr>
            <w:tcW w:w="709" w:type="dxa"/>
            <w:vAlign w:val="center"/>
          </w:tcPr>
          <w:p w14:paraId="4D34677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</w:t>
            </w:r>
          </w:p>
        </w:tc>
      </w:tr>
      <w:tr w14:paraId="3EF8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497" w:type="dxa"/>
            <w:vMerge w:val="restart"/>
            <w:vAlign w:val="center"/>
          </w:tcPr>
          <w:p w14:paraId="59C646F0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2.教学团队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（1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2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6720" w:type="dxa"/>
            <w:vAlign w:val="center"/>
          </w:tcPr>
          <w:p w14:paraId="76041EF7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1 </w:t>
            </w:r>
            <w:r>
              <w:rPr>
                <w:rFonts w:eastAsia="仿宋_GB2312"/>
                <w:kern w:val="0"/>
                <w:sz w:val="24"/>
                <w:highlight w:val="none"/>
              </w:rPr>
              <w:t>课程负责人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由具有高级职称的“双师型”教师担任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，优先支持由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市级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产业教授</w:t>
            </w:r>
            <w:r>
              <w:rPr>
                <w:rFonts w:hint="eastAsia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或科技副总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担任课程负责人的课程。★</w:t>
            </w:r>
          </w:p>
        </w:tc>
        <w:tc>
          <w:tcPr>
            <w:tcW w:w="709" w:type="dxa"/>
            <w:vAlign w:val="center"/>
          </w:tcPr>
          <w:p w14:paraId="2E60BF3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5EF7B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497" w:type="dxa"/>
            <w:vMerge w:val="continue"/>
            <w:vAlign w:val="center"/>
          </w:tcPr>
          <w:p w14:paraId="743DF1BB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37130B74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2.2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具有一支专兼结合、结构合理的课程教学团队，建立专任教师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企业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实践与社会实践能力培养提升的机制。专任教师每年须有累计不少于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个月到企业或一线的实践经历。无师德师风问题。</w:t>
            </w:r>
          </w:p>
        </w:tc>
        <w:tc>
          <w:tcPr>
            <w:tcW w:w="709" w:type="dxa"/>
            <w:vAlign w:val="center"/>
          </w:tcPr>
          <w:p w14:paraId="2595932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</w:t>
            </w:r>
          </w:p>
        </w:tc>
      </w:tr>
      <w:tr w14:paraId="3C8F7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497" w:type="dxa"/>
            <w:vMerge w:val="continue"/>
            <w:vAlign w:val="center"/>
          </w:tcPr>
          <w:p w14:paraId="2EB844D5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776DF388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3 </w:t>
            </w:r>
            <w:r>
              <w:rPr>
                <w:rFonts w:eastAsia="仿宋_GB2312"/>
                <w:kern w:val="0"/>
                <w:sz w:val="24"/>
                <w:highlight w:val="none"/>
              </w:rPr>
              <w:t>课程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教学</w:t>
            </w:r>
            <w:r>
              <w:rPr>
                <w:rFonts w:eastAsia="仿宋_GB2312"/>
                <w:kern w:val="0"/>
                <w:sz w:val="24"/>
                <w:highlight w:val="none"/>
              </w:rPr>
              <w:t>团队有支撑课程教学目标、围绕课程教学内容开展产业前沿技术开发、行业主流新品研发或应用项目实施等方面的产学研深度合作基础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共同完成课程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标准</w:t>
            </w:r>
            <w:r>
              <w:rPr>
                <w:rFonts w:eastAsia="仿宋_GB2312"/>
                <w:kern w:val="0"/>
                <w:sz w:val="24"/>
                <w:highlight w:val="none"/>
              </w:rPr>
              <w:t>、教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案</w:t>
            </w:r>
            <w:r>
              <w:rPr>
                <w:rFonts w:eastAsia="仿宋_GB2312"/>
                <w:kern w:val="0"/>
                <w:sz w:val="24"/>
                <w:highlight w:val="none"/>
              </w:rPr>
              <w:t>、课程资源开发、课程教学及考核评价等一系列课程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改革</w:t>
            </w:r>
            <w:r>
              <w:rPr>
                <w:rFonts w:eastAsia="仿宋_GB2312"/>
                <w:kern w:val="0"/>
                <w:sz w:val="24"/>
                <w:highlight w:val="none"/>
              </w:rPr>
              <w:t>工作。</w:t>
            </w:r>
          </w:p>
        </w:tc>
        <w:tc>
          <w:tcPr>
            <w:tcW w:w="709" w:type="dxa"/>
            <w:vAlign w:val="center"/>
          </w:tcPr>
          <w:p w14:paraId="1B098B96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</w:t>
            </w:r>
          </w:p>
        </w:tc>
      </w:tr>
      <w:tr w14:paraId="1564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97" w:type="dxa"/>
            <w:vMerge w:val="continue"/>
            <w:vAlign w:val="center"/>
          </w:tcPr>
          <w:p w14:paraId="5F24FACA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1787E04C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2.4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eastAsia="仿宋_GB2312"/>
                <w:kern w:val="0"/>
                <w:sz w:val="24"/>
                <w:highlight w:val="none"/>
              </w:rPr>
              <w:t>教学团队成员分工明确，通过组建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专门基层教学组织，常态化开展课程建设、集体备课、听课评课等教学研讨活动，协同提升课程建设与教学实施的组织能力</w:t>
            </w:r>
            <w:r>
              <w:rPr>
                <w:rFonts w:eastAsia="仿宋_GB2312"/>
                <w:kern w:val="0"/>
                <w:sz w:val="24"/>
                <w:highlight w:val="none"/>
              </w:rPr>
              <w:t>。</w:t>
            </w:r>
          </w:p>
        </w:tc>
        <w:tc>
          <w:tcPr>
            <w:tcW w:w="709" w:type="dxa"/>
            <w:vAlign w:val="center"/>
          </w:tcPr>
          <w:p w14:paraId="488B569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3</w:t>
            </w:r>
          </w:p>
        </w:tc>
      </w:tr>
      <w:tr w14:paraId="243B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97" w:type="dxa"/>
            <w:vMerge w:val="restart"/>
            <w:vAlign w:val="center"/>
          </w:tcPr>
          <w:p w14:paraId="7281B304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3.课程目标</w:t>
            </w:r>
          </w:p>
          <w:p w14:paraId="28E64840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（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8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6720" w:type="dxa"/>
            <w:vAlign w:val="center"/>
          </w:tcPr>
          <w:p w14:paraId="23B8D045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3.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1 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打破知识传授主导的传统课程模式，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课程目标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符合学校定位，适应经济发展、产业升级和技术进步的需要，符合专业人才培养规格要求。</w:t>
            </w:r>
          </w:p>
        </w:tc>
        <w:tc>
          <w:tcPr>
            <w:tcW w:w="709" w:type="dxa"/>
            <w:vAlign w:val="center"/>
          </w:tcPr>
          <w:p w14:paraId="10E6C21D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3</w:t>
            </w:r>
          </w:p>
        </w:tc>
      </w:tr>
      <w:tr w14:paraId="65AA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497" w:type="dxa"/>
            <w:vMerge w:val="continue"/>
            <w:vAlign w:val="center"/>
          </w:tcPr>
          <w:p w14:paraId="0207020E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2B8D193C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3.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2 </w:t>
            </w:r>
            <w:r>
              <w:rPr>
                <w:rFonts w:eastAsia="仿宋_GB2312"/>
                <w:kern w:val="0"/>
                <w:sz w:val="24"/>
                <w:highlight w:val="none"/>
              </w:rPr>
              <w:t>参照各类专业认证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（评估）</w:t>
            </w:r>
            <w:r>
              <w:rPr>
                <w:rFonts w:eastAsia="仿宋_GB2312"/>
                <w:kern w:val="0"/>
                <w:sz w:val="24"/>
                <w:highlight w:val="none"/>
              </w:rPr>
              <w:t>指标体系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课程目标具有可量化的学习成果，能够体现对人才培养目标及毕业要求的支撑，在课程体系中具有重要作用。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★</w:t>
            </w:r>
          </w:p>
        </w:tc>
        <w:tc>
          <w:tcPr>
            <w:tcW w:w="709" w:type="dxa"/>
            <w:vAlign w:val="center"/>
          </w:tcPr>
          <w:p w14:paraId="68E7DB22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24CF3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497" w:type="dxa"/>
            <w:vMerge w:val="restart"/>
            <w:vAlign w:val="center"/>
          </w:tcPr>
          <w:p w14:paraId="5586E592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4.课程内容</w:t>
            </w:r>
          </w:p>
          <w:p w14:paraId="0417D150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（2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5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6720" w:type="dxa"/>
            <w:vAlign w:val="center"/>
          </w:tcPr>
          <w:p w14:paraId="7ED8F41A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4.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1 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坚持立德树人，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充分挖掘和运用课程所蕴含的思政元素，并作为重要授课内容。</w:t>
            </w:r>
          </w:p>
        </w:tc>
        <w:tc>
          <w:tcPr>
            <w:tcW w:w="709" w:type="dxa"/>
            <w:vAlign w:val="center"/>
          </w:tcPr>
          <w:p w14:paraId="37C2C6E2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2EF1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97" w:type="dxa"/>
            <w:vMerge w:val="continue"/>
            <w:vAlign w:val="center"/>
          </w:tcPr>
          <w:p w14:paraId="714F0BE7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7BEB7CEC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4.2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eastAsia="仿宋_GB2312"/>
                <w:kern w:val="0"/>
                <w:sz w:val="24"/>
                <w:highlight w:val="none"/>
              </w:rPr>
              <w:t>教学资源储备丰富，融合基础理论研究和行业企业实践应用特长，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鼓励产教深度融合开发建设数字教材、慕课、微课、虚拟仿真实验教学项目、项目案例库等优质数字化教学资源。</w:t>
            </w:r>
          </w:p>
        </w:tc>
        <w:tc>
          <w:tcPr>
            <w:tcW w:w="709" w:type="dxa"/>
            <w:vAlign w:val="center"/>
          </w:tcPr>
          <w:p w14:paraId="0A5EE05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1A3F8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497" w:type="dxa"/>
            <w:vMerge w:val="continue"/>
            <w:vAlign w:val="center"/>
          </w:tcPr>
          <w:p w14:paraId="1E59E594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48D48C90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4.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3 </w:t>
            </w:r>
            <w:r>
              <w:rPr>
                <w:rFonts w:hint="default" w:eastAsia="仿宋_GB2312"/>
                <w:kern w:val="0"/>
                <w:sz w:val="24"/>
                <w:highlight w:val="none"/>
                <w:lang w:val="en-US" w:eastAsia="zh-CN"/>
              </w:rPr>
              <w:t>聚焦职业岗位核心能力与实践技能培养，将产业前沿技术、企业真实项目案例、岗位实操标准、行业新规新政及社会需求变化深度融入课程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教学</w:t>
            </w:r>
            <w:r>
              <w:rPr>
                <w:rFonts w:hint="default" w:eastAsia="仿宋_GB2312"/>
                <w:kern w:val="0"/>
                <w:sz w:val="24"/>
                <w:highlight w:val="none"/>
                <w:lang w:val="en-US" w:eastAsia="zh-CN"/>
              </w:rPr>
              <w:t>内容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，体现课程内容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先进</w:t>
            </w:r>
            <w:r>
              <w:rPr>
                <w:rFonts w:eastAsia="仿宋_GB2312"/>
                <w:kern w:val="0"/>
                <w:sz w:val="24"/>
                <w:highlight w:val="none"/>
              </w:rPr>
              <w:t>性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，每年保持一定比例的内容更新</w:t>
            </w:r>
            <w:r>
              <w:rPr>
                <w:rFonts w:eastAsia="仿宋_GB2312"/>
                <w:kern w:val="0"/>
                <w:sz w:val="24"/>
                <w:highlight w:val="none"/>
              </w:rPr>
              <w:t>。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★</w:t>
            </w:r>
          </w:p>
        </w:tc>
        <w:tc>
          <w:tcPr>
            <w:tcW w:w="709" w:type="dxa"/>
            <w:vAlign w:val="center"/>
          </w:tcPr>
          <w:p w14:paraId="47A2800C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449C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497" w:type="dxa"/>
            <w:vMerge w:val="continue"/>
            <w:vAlign w:val="center"/>
          </w:tcPr>
          <w:p w14:paraId="51C4FF2A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116A20BD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4.4 课程内容应充分结合行业产业的真实应用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场景</w:t>
            </w:r>
            <w:r>
              <w:rPr>
                <w:rFonts w:eastAsia="仿宋_GB2312"/>
                <w:kern w:val="0"/>
                <w:sz w:val="24"/>
                <w:highlight w:val="none"/>
              </w:rPr>
              <w:t>、应用经验、应用要求、实施规范和流程，以及经济性、安全性、环保性等真实工作要素，体现课程内容的应用性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，实践课时比重不少于3</w:t>
            </w:r>
            <w:r>
              <w:rPr>
                <w:rFonts w:eastAsia="仿宋_GB2312"/>
                <w:kern w:val="0"/>
                <w:sz w:val="24"/>
                <w:highlight w:val="none"/>
              </w:rPr>
              <w:t>0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%</w:t>
            </w:r>
            <w:r>
              <w:rPr>
                <w:rFonts w:eastAsia="仿宋_GB2312"/>
                <w:kern w:val="0"/>
                <w:sz w:val="24"/>
                <w:highlight w:val="none"/>
              </w:rPr>
              <w:t>。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★</w:t>
            </w:r>
          </w:p>
        </w:tc>
        <w:tc>
          <w:tcPr>
            <w:tcW w:w="709" w:type="dxa"/>
            <w:vAlign w:val="center"/>
          </w:tcPr>
          <w:p w14:paraId="5C8000A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4D496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497" w:type="dxa"/>
            <w:vMerge w:val="continue"/>
            <w:vAlign w:val="center"/>
          </w:tcPr>
          <w:p w14:paraId="6D09AB92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305D38E2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4.5 通过校企合作开展的产学研项目，将真实研发成果转化为课程教学项目或案例，提升课程教学目标达成度。</w:t>
            </w:r>
          </w:p>
        </w:tc>
        <w:tc>
          <w:tcPr>
            <w:tcW w:w="709" w:type="dxa"/>
            <w:vAlign w:val="center"/>
          </w:tcPr>
          <w:p w14:paraId="27B863E5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34C6A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497" w:type="dxa"/>
            <w:vMerge w:val="restart"/>
            <w:vAlign w:val="center"/>
          </w:tcPr>
          <w:p w14:paraId="02951002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5.教学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方法（2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0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6720" w:type="dxa"/>
            <w:vAlign w:val="center"/>
          </w:tcPr>
          <w:p w14:paraId="7206CDAA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1 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课程教学过程基于产教协同共同实施，促进真实场景下的真学真做，能够将理论学习、知识转化、能力培养有机贯穿于课程整体教学中。</w:t>
            </w:r>
          </w:p>
        </w:tc>
        <w:tc>
          <w:tcPr>
            <w:tcW w:w="709" w:type="dxa"/>
            <w:vAlign w:val="center"/>
          </w:tcPr>
          <w:p w14:paraId="0A1D0563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1E260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497" w:type="dxa"/>
            <w:vMerge w:val="continue"/>
            <w:vAlign w:val="center"/>
          </w:tcPr>
          <w:p w14:paraId="52EBC9D0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3D61777B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5.2鼓励以真实项目（案例）为载体，开展案例式教学、项目化教学和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任务式教学等</w:t>
            </w:r>
            <w:r>
              <w:rPr>
                <w:rFonts w:eastAsia="仿宋_GB2312"/>
                <w:kern w:val="0"/>
                <w:sz w:val="24"/>
                <w:highlight w:val="none"/>
              </w:rPr>
              <w:t>实践驱动的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新型</w:t>
            </w:r>
            <w:r>
              <w:rPr>
                <w:rFonts w:eastAsia="仿宋_GB2312"/>
                <w:kern w:val="0"/>
                <w:sz w:val="24"/>
                <w:highlight w:val="none"/>
              </w:rPr>
              <w:t>教学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方式方法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，充分调动学生积极性、主动性和创造性，培养学生批判性思维方法、分析解决复杂问题的能力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、</w:t>
            </w:r>
            <w:r>
              <w:rPr>
                <w:rFonts w:eastAsia="仿宋_GB2312"/>
                <w:kern w:val="0"/>
                <w:sz w:val="24"/>
                <w:highlight w:val="none"/>
              </w:rPr>
              <w:t>创新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精神、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实践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能力</w:t>
            </w:r>
            <w:r>
              <w:rPr>
                <w:rFonts w:eastAsia="仿宋_GB2312"/>
                <w:kern w:val="0"/>
                <w:sz w:val="24"/>
                <w:highlight w:val="none"/>
              </w:rPr>
              <w:t>。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★</w:t>
            </w:r>
          </w:p>
        </w:tc>
        <w:tc>
          <w:tcPr>
            <w:tcW w:w="709" w:type="dxa"/>
            <w:vAlign w:val="center"/>
          </w:tcPr>
          <w:p w14:paraId="1D2D00DA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6FFE1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97" w:type="dxa"/>
            <w:vMerge w:val="continue"/>
            <w:vAlign w:val="center"/>
          </w:tcPr>
          <w:p w14:paraId="294D8383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768967B5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5</w:t>
            </w:r>
            <w:r>
              <w:rPr>
                <w:rFonts w:eastAsia="仿宋_GB2312"/>
                <w:kern w:val="0"/>
                <w:sz w:val="24"/>
                <w:highlight w:val="none"/>
              </w:rPr>
              <w:t>.3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强化实践教学过程管理，</w:t>
            </w:r>
            <w:r>
              <w:rPr>
                <w:rFonts w:eastAsia="仿宋_GB2312"/>
                <w:kern w:val="0"/>
                <w:sz w:val="24"/>
                <w:highlight w:val="none"/>
              </w:rPr>
              <w:t>充分利用产教融合校企合作平台，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全部或部分实践教学环节在行业企业真实场景下完成。</w:t>
            </w:r>
          </w:p>
        </w:tc>
        <w:tc>
          <w:tcPr>
            <w:tcW w:w="709" w:type="dxa"/>
            <w:vAlign w:val="center"/>
          </w:tcPr>
          <w:p w14:paraId="11B3A838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5D77C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497" w:type="dxa"/>
            <w:vMerge w:val="continue"/>
            <w:vAlign w:val="center"/>
          </w:tcPr>
          <w:p w14:paraId="215B317E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2ECB3734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5</w:t>
            </w:r>
            <w:r>
              <w:rPr>
                <w:rFonts w:eastAsia="仿宋_GB2312"/>
                <w:kern w:val="0"/>
                <w:sz w:val="24"/>
                <w:highlight w:val="none"/>
              </w:rPr>
              <w:t>.4有效利用网络（在线）课程平台、移动终端学习平台，与学生建立交流、互动和评价通道。</w:t>
            </w:r>
          </w:p>
        </w:tc>
        <w:tc>
          <w:tcPr>
            <w:tcW w:w="709" w:type="dxa"/>
            <w:vAlign w:val="center"/>
          </w:tcPr>
          <w:p w14:paraId="3107327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4EBC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97" w:type="dxa"/>
            <w:vMerge w:val="restart"/>
            <w:vAlign w:val="center"/>
          </w:tcPr>
          <w:p w14:paraId="452CEC0A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6.考核评价</w:t>
            </w:r>
          </w:p>
          <w:p w14:paraId="2CD683FB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（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15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6720" w:type="dxa"/>
            <w:vAlign w:val="center"/>
          </w:tcPr>
          <w:p w14:paraId="63656859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6</w:t>
            </w:r>
            <w:r>
              <w:rPr>
                <w:rFonts w:eastAsia="仿宋_GB2312"/>
                <w:kern w:val="0"/>
                <w:sz w:val="24"/>
                <w:highlight w:val="none"/>
              </w:rPr>
              <w:t>.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1 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积极开展课程形成性评价改革，坚持过程性评价，突出实践性成果，促进理论与实践相结合，鼓励以文案、报告、作品、方案等为载体的团队式、小组化考核。★</w:t>
            </w:r>
          </w:p>
        </w:tc>
        <w:tc>
          <w:tcPr>
            <w:tcW w:w="709" w:type="dxa"/>
            <w:vAlign w:val="center"/>
          </w:tcPr>
          <w:p w14:paraId="01A67741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kern w:val="0"/>
                <w:sz w:val="24"/>
                <w:highlight w:val="none"/>
              </w:rPr>
              <w:t>1</w:t>
            </w:r>
            <w:r>
              <w:rPr>
                <w:rFonts w:eastAsia="仿宋_GB2312"/>
                <w:kern w:val="0"/>
                <w:sz w:val="24"/>
                <w:highlight w:val="none"/>
              </w:rPr>
              <w:t>0</w:t>
            </w:r>
          </w:p>
        </w:tc>
      </w:tr>
      <w:tr w14:paraId="6C91D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97" w:type="dxa"/>
            <w:vMerge w:val="continue"/>
            <w:vAlign w:val="center"/>
          </w:tcPr>
          <w:p w14:paraId="21D97C78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3288428F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6.2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课程实施效果好，学生评价和同行评价优秀。</w:t>
            </w:r>
          </w:p>
        </w:tc>
        <w:tc>
          <w:tcPr>
            <w:tcW w:w="709" w:type="dxa"/>
            <w:vAlign w:val="center"/>
          </w:tcPr>
          <w:p w14:paraId="7D34D1B4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3</w:t>
            </w:r>
          </w:p>
        </w:tc>
      </w:tr>
      <w:tr w14:paraId="47E6B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497" w:type="dxa"/>
            <w:vMerge w:val="continue"/>
            <w:vAlign w:val="center"/>
          </w:tcPr>
          <w:p w14:paraId="6081B447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</w:p>
        </w:tc>
        <w:tc>
          <w:tcPr>
            <w:tcW w:w="6720" w:type="dxa"/>
            <w:vAlign w:val="center"/>
          </w:tcPr>
          <w:p w14:paraId="07E1585A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6.3 根据各类专业认证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（</w:t>
            </w:r>
            <w:r>
              <w:rPr>
                <w:rFonts w:eastAsia="仿宋_GB2312"/>
                <w:kern w:val="0"/>
                <w:sz w:val="24"/>
                <w:highlight w:val="none"/>
              </w:rPr>
              <w:t>评估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）</w:t>
            </w:r>
            <w:r>
              <w:rPr>
                <w:rFonts w:eastAsia="仿宋_GB2312"/>
                <w:kern w:val="0"/>
                <w:sz w:val="24"/>
                <w:highlight w:val="none"/>
              </w:rPr>
              <w:t>的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指标</w:t>
            </w:r>
            <w:r>
              <w:rPr>
                <w:rFonts w:eastAsia="仿宋_GB2312"/>
                <w:kern w:val="0"/>
                <w:sz w:val="24"/>
                <w:highlight w:val="none"/>
              </w:rPr>
              <w:t>要求，开展课程目标达成情况分析，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并</w:t>
            </w:r>
            <w:r>
              <w:rPr>
                <w:rFonts w:eastAsia="仿宋_GB2312"/>
                <w:kern w:val="0"/>
                <w:sz w:val="24"/>
                <w:highlight w:val="none"/>
              </w:rPr>
              <w:t>持续改进。</w:t>
            </w:r>
          </w:p>
        </w:tc>
        <w:tc>
          <w:tcPr>
            <w:tcW w:w="709" w:type="dxa"/>
            <w:vAlign w:val="center"/>
          </w:tcPr>
          <w:p w14:paraId="5F263BE9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2</w:t>
            </w:r>
          </w:p>
        </w:tc>
      </w:tr>
      <w:tr w14:paraId="6DE74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497" w:type="dxa"/>
            <w:vAlign w:val="center"/>
          </w:tcPr>
          <w:p w14:paraId="453817B9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7.建设措施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（5分）</w:t>
            </w:r>
          </w:p>
        </w:tc>
        <w:tc>
          <w:tcPr>
            <w:tcW w:w="6720" w:type="dxa"/>
            <w:vAlign w:val="center"/>
          </w:tcPr>
          <w:p w14:paraId="52C5F9B9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合理规划课程后续建设工作，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</w:t>
            </w:r>
            <w:r>
              <w:rPr>
                <w:rFonts w:eastAsia="仿宋_GB2312"/>
                <w:kern w:val="0"/>
                <w:sz w:val="24"/>
                <w:highlight w:val="none"/>
              </w:rPr>
              <w:t>建设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责任</w:t>
            </w:r>
            <w:r>
              <w:rPr>
                <w:rFonts w:eastAsia="仿宋_GB2312"/>
                <w:kern w:val="0"/>
                <w:sz w:val="24"/>
                <w:highlight w:val="none"/>
              </w:rPr>
              <w:t>到人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，课程内容更新及时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，配套经费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使用合理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，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数字化转型成功，能够</w:t>
            </w:r>
            <w:r>
              <w:rPr>
                <w:rFonts w:eastAsia="仿宋_GB2312"/>
                <w:kern w:val="0"/>
                <w:sz w:val="24"/>
                <w:highlight w:val="none"/>
              </w:rPr>
              <w:t>按时完成课程建设任务。</w:t>
            </w:r>
          </w:p>
        </w:tc>
        <w:tc>
          <w:tcPr>
            <w:tcW w:w="709" w:type="dxa"/>
            <w:vAlign w:val="center"/>
          </w:tcPr>
          <w:p w14:paraId="6D222694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  <w:tr w14:paraId="108AD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1497" w:type="dxa"/>
            <w:vAlign w:val="center"/>
          </w:tcPr>
          <w:p w14:paraId="246661A0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eastAsia="仿宋_GB2312"/>
                <w:b/>
                <w:kern w:val="0"/>
                <w:sz w:val="24"/>
                <w:highlight w:val="none"/>
              </w:rPr>
              <w:t>8.特色成效</w:t>
            </w:r>
          </w:p>
          <w:p w14:paraId="14672708">
            <w:pPr>
              <w:jc w:val="center"/>
              <w:rPr>
                <w:rFonts w:eastAsia="仿宋_GB2312"/>
                <w:b/>
                <w:kern w:val="0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（</w:t>
            </w:r>
            <w:r>
              <w:rPr>
                <w:rFonts w:eastAsia="仿宋_GB2312"/>
                <w:b/>
                <w:kern w:val="0"/>
                <w:sz w:val="24"/>
                <w:highlight w:val="none"/>
              </w:rPr>
              <w:t>5</w:t>
            </w:r>
            <w:r>
              <w:rPr>
                <w:rFonts w:hint="eastAsia" w:eastAsia="仿宋_GB2312"/>
                <w:b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6720" w:type="dxa"/>
            <w:vAlign w:val="center"/>
          </w:tcPr>
          <w:p w14:paraId="66D0F5A0">
            <w:pPr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课程质量得到行业企业专家和同行专家认可，学生满意度高，可同时服务于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社区教育或</w:t>
            </w:r>
            <w:r>
              <w:rPr>
                <w:rFonts w:eastAsia="仿宋_GB2312"/>
                <w:kern w:val="0"/>
                <w:sz w:val="24"/>
                <w:highlight w:val="none"/>
              </w:rPr>
              <w:t>企业培训</w:t>
            </w:r>
            <w:r>
              <w:rPr>
                <w:rFonts w:hint="eastAsia" w:eastAsia="仿宋_GB2312"/>
                <w:kern w:val="0"/>
                <w:sz w:val="24"/>
                <w:highlight w:val="none"/>
                <w:lang w:val="en-US" w:eastAsia="zh-CN"/>
              </w:rPr>
              <w:t>等</w:t>
            </w:r>
            <w:r>
              <w:rPr>
                <w:rFonts w:eastAsia="仿宋_GB2312"/>
                <w:kern w:val="0"/>
                <w:sz w:val="24"/>
                <w:highlight w:val="none"/>
              </w:rPr>
              <w:t>，</w:t>
            </w:r>
            <w:r>
              <w:rPr>
                <w:rFonts w:hint="eastAsia" w:eastAsia="仿宋_GB2312"/>
                <w:kern w:val="0"/>
                <w:sz w:val="24"/>
                <w:highlight w:val="none"/>
              </w:rPr>
              <w:t>课程建设及改革经验的</w:t>
            </w:r>
            <w:r>
              <w:rPr>
                <w:rFonts w:eastAsia="仿宋_GB2312"/>
                <w:kern w:val="0"/>
                <w:sz w:val="24"/>
                <w:highlight w:val="none"/>
              </w:rPr>
              <w:t>示范推广价值高。</w:t>
            </w:r>
          </w:p>
        </w:tc>
        <w:tc>
          <w:tcPr>
            <w:tcW w:w="709" w:type="dxa"/>
            <w:vAlign w:val="center"/>
          </w:tcPr>
          <w:p w14:paraId="061A5B2B">
            <w:pPr>
              <w:jc w:val="center"/>
              <w:rPr>
                <w:rFonts w:eastAsia="仿宋_GB2312"/>
                <w:kern w:val="0"/>
                <w:sz w:val="24"/>
                <w:highlight w:val="none"/>
              </w:rPr>
            </w:pPr>
            <w:r>
              <w:rPr>
                <w:rFonts w:eastAsia="仿宋_GB2312"/>
                <w:kern w:val="0"/>
                <w:sz w:val="24"/>
                <w:highlight w:val="none"/>
              </w:rPr>
              <w:t>5</w:t>
            </w:r>
          </w:p>
        </w:tc>
      </w:tr>
    </w:tbl>
    <w:p w14:paraId="7C38A31A">
      <w:pPr>
        <w:rPr>
          <w:highlight w:val="none"/>
        </w:rPr>
      </w:pPr>
      <w:r>
        <w:rPr>
          <w:rFonts w:hint="eastAsia" w:eastAsia="仿宋_GB2312"/>
          <w:b/>
          <w:kern w:val="0"/>
          <w:sz w:val="24"/>
          <w:highlight w:val="none"/>
        </w:rPr>
        <w:t>注</w:t>
      </w:r>
      <w:r>
        <w:rPr>
          <w:rFonts w:hint="eastAsia" w:eastAsia="仿宋_GB2312"/>
          <w:kern w:val="0"/>
          <w:sz w:val="24"/>
          <w:highlight w:val="none"/>
        </w:rPr>
        <w:t>：</w:t>
      </w:r>
      <w:r>
        <w:rPr>
          <w:rFonts w:hint="eastAsia" w:eastAsia="仿宋_GB2312"/>
          <w:sz w:val="24"/>
          <w:highlight w:val="none"/>
        </w:rPr>
        <w:t>★为重点观测指标。</w:t>
      </w:r>
    </w:p>
    <w:sectPr>
      <w:footerReference r:id="rId3" w:type="default"/>
      <w:footerReference r:id="rId4" w:type="even"/>
      <w:pgSz w:w="11906" w:h="16838"/>
      <w:pgMar w:top="1985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</w:rPr>
      <w:id w:val="380527970"/>
      <w:docPartObj>
        <w:docPartGallery w:val="autotext"/>
      </w:docPartObj>
    </w:sdtPr>
    <w:sdtEndPr>
      <w:rPr>
        <w:sz w:val="28"/>
      </w:rPr>
    </w:sdtEndPr>
    <w:sdtContent>
      <w:p w14:paraId="31F961B7">
        <w:pPr>
          <w:pStyle w:val="2"/>
          <w:jc w:val="right"/>
          <w:rPr>
            <w:sz w:val="28"/>
          </w:rPr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3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2C9AB99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</w:rPr>
      <w:id w:val="-1746563429"/>
      <w:docPartObj>
        <w:docPartGallery w:val="autotext"/>
      </w:docPartObj>
    </w:sdtPr>
    <w:sdtEndPr>
      <w:rPr>
        <w:sz w:val="28"/>
      </w:rPr>
    </w:sdtEndPr>
    <w:sdtContent>
      <w:p w14:paraId="77D9B84B">
        <w:pPr>
          <w:pStyle w:val="2"/>
          <w:rPr>
            <w:sz w:val="28"/>
          </w:rPr>
        </w:pPr>
        <w:r>
          <w:rPr>
            <w:rFonts w:hint="eastAsia"/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2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</w:t>
        </w:r>
        <w:r>
          <w:rPr>
            <w:rFonts w:hint="eastAsia"/>
            <w:sz w:val="28"/>
          </w:rPr>
          <w:t>—</w:t>
        </w:r>
      </w:p>
    </w:sdtContent>
  </w:sdt>
  <w:p w14:paraId="3B323F8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341D8"/>
    <w:rsid w:val="08C77405"/>
    <w:rsid w:val="0EDA4F6D"/>
    <w:rsid w:val="1876405C"/>
    <w:rsid w:val="196341D8"/>
    <w:rsid w:val="2092283A"/>
    <w:rsid w:val="25D50A1E"/>
    <w:rsid w:val="2B650A06"/>
    <w:rsid w:val="35A36D7E"/>
    <w:rsid w:val="3A471BD4"/>
    <w:rsid w:val="40013EE0"/>
    <w:rsid w:val="41723D93"/>
    <w:rsid w:val="43A22025"/>
    <w:rsid w:val="45AF56E0"/>
    <w:rsid w:val="5EDE2BCB"/>
    <w:rsid w:val="688B3B97"/>
    <w:rsid w:val="68D20985"/>
    <w:rsid w:val="6C180827"/>
    <w:rsid w:val="7A5E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1651</Words>
  <Characters>1709</Characters>
  <Lines>0</Lines>
  <Paragraphs>0</Paragraphs>
  <TotalTime>8</TotalTime>
  <ScaleCrop>false</ScaleCrop>
  <LinksUpToDate>false</LinksUpToDate>
  <CharactersWithSpaces>1727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2026-03-14T07:05:00Z</dcterms:created>
  <dc:creator>城南FC</dc:creator>
  <cp:lastModifiedBy>琥珀</cp:lastModifiedBy>
  <dcterms:modified xsi:type="dcterms:W3CDTF">2026-03-20T07:00:43Z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38914AEE51CB4BC2B1DC44175CBCFC3A</vt:lpwstr>
  </property>
  <property fmtid="{D5CDD505-2E9C-101B-9397-08002B2CF9AE}" pid="4" name="KSOTemplateDocerSaveRecord">
    <vt:lpwstr>eyJoZGlkIjoiYzEzMmIyMjYyNmUxN2ZlYzRkMWNhMmIyNDgyNGMyZDYiLCJ1c2VySWQiOiIyNzA0NTk4MDUifQ==</vt:lpwstr>
  </property>
</Properties>
</file>