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D5CFB">
      <w:pPr>
        <w:spacing w:line="460" w:lineRule="exact"/>
        <w:jc w:val="center"/>
        <w:rPr>
          <w:rFonts w:hint="eastAsia" w:ascii="黑体" w:hAnsi="黑体" w:eastAsia="黑体" w:cs="黑体"/>
          <w:b/>
          <w:sz w:val="32"/>
          <w:szCs w:val="32"/>
        </w:rPr>
      </w:pPr>
      <w:bookmarkStart w:id="0" w:name="_GoBack"/>
      <w:bookmarkEnd w:id="0"/>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421EDC64">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（第三十四期）</w:t>
      </w:r>
    </w:p>
    <w:p w14:paraId="2556CBBE">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14:paraId="22F626CB">
      <w:pPr>
        <w:spacing w:line="360" w:lineRule="auto"/>
        <w:jc w:val="center"/>
        <w:rPr>
          <w:rFonts w:ascii="undefined" w:hAnsi="undefined" w:eastAsia="undefined" w:cs="undefined"/>
          <w:b/>
          <w:sz w:val="24"/>
        </w:rPr>
      </w:pPr>
      <w:r>
        <w:rPr>
          <w:rFonts w:hint="eastAsia"/>
          <w:b/>
          <w:bCs/>
          <w:sz w:val="30"/>
          <w:szCs w:val="30"/>
        </w:rPr>
        <w:t>新北区大中小学思政课一体化培育室第</w:t>
      </w:r>
      <w:r>
        <w:rPr>
          <w:rFonts w:hint="eastAsia"/>
          <w:b/>
          <w:bCs/>
          <w:sz w:val="30"/>
          <w:szCs w:val="30"/>
          <w:lang w:val="en-US" w:eastAsia="zh-CN"/>
        </w:rPr>
        <w:t>三</w:t>
      </w:r>
      <w:r>
        <w:rPr>
          <w:rFonts w:hint="eastAsia"/>
          <w:b/>
          <w:bCs/>
          <w:sz w:val="30"/>
          <w:szCs w:val="30"/>
        </w:rPr>
        <w:t>十</w:t>
      </w:r>
      <w:r>
        <w:rPr>
          <w:rFonts w:hint="eastAsia"/>
          <w:b/>
          <w:bCs/>
          <w:sz w:val="30"/>
          <w:szCs w:val="30"/>
          <w:lang w:val="en-US" w:eastAsia="zh-CN"/>
        </w:rPr>
        <w:t>四</w:t>
      </w:r>
      <w:r>
        <w:rPr>
          <w:rFonts w:hint="eastAsia"/>
          <w:b/>
          <w:bCs/>
          <w:sz w:val="30"/>
          <w:szCs w:val="30"/>
        </w:rPr>
        <w:t>次活动通知</w:t>
      </w:r>
    </w:p>
    <w:p w14:paraId="65B2C5D3">
      <w:pPr>
        <w:pStyle w:val="6"/>
        <w:widowControl/>
        <w:numPr>
          <w:ilvl w:val="0"/>
          <w:numId w:val="0"/>
        </w:numPr>
        <w:spacing w:before="0" w:beforeAutospacing="0" w:after="0" w:afterAutospacing="0" w:line="312" w:lineRule="auto"/>
        <w:ind w:left="482" w:leftChars="0" w:right="0" w:rightChars="0"/>
        <w:rPr>
          <w:rFonts w:ascii="宋体" w:hAnsi="宋体" w:cs="宋体"/>
          <w:b/>
        </w:rPr>
      </w:pPr>
      <w:r>
        <w:rPr>
          <w:rFonts w:hint="eastAsia" w:ascii="宋体" w:hAnsi="宋体" w:cs="宋体"/>
          <w:b/>
          <w:lang w:val="en-US" w:eastAsia="zh-CN"/>
        </w:rPr>
        <w:t>一、</w:t>
      </w:r>
      <w:r>
        <w:rPr>
          <w:rFonts w:hint="eastAsia" w:ascii="宋体" w:hAnsi="宋体" w:cs="宋体"/>
          <w:b/>
        </w:rPr>
        <w:t>活动理念：</w:t>
      </w:r>
    </w:p>
    <w:p w14:paraId="346954B3">
      <w:pPr>
        <w:pStyle w:val="6"/>
        <w:widowControl/>
        <w:numPr>
          <w:ilvl w:val="0"/>
          <w:numId w:val="0"/>
        </w:numPr>
        <w:spacing w:before="0" w:beforeAutospacing="0" w:after="0" w:afterAutospacing="0" w:line="312" w:lineRule="auto"/>
        <w:ind w:left="482" w:leftChars="0" w:right="0" w:rightChars="0" w:firstLine="480" w:firstLineChars="200"/>
        <w:rPr>
          <w:rFonts w:hint="eastAsia" w:ascii="宋体" w:hAnsi="宋体" w:cs="宋体"/>
          <w:b/>
          <w:lang w:val="en-US" w:eastAsia="zh-CN"/>
        </w:rPr>
      </w:pPr>
      <w:r>
        <w:rPr>
          <w:rFonts w:hint="eastAsia" w:ascii="宋体" w:hAnsi="宋体" w:cs="宋体"/>
          <w:b w:val="0"/>
          <w:bCs/>
          <w:lang w:val="en-US" w:eastAsia="zh-CN"/>
        </w:rPr>
        <w:t>为深入贯彻新课程理念，聚焦法治教育核心素养培育，搭建区域思政教学交流平台，推动道德与法治课堂教学提质增效，现组织开展新北区大中小思政课一体化建设第三十四次教研活动</w:t>
      </w:r>
      <w:r>
        <w:rPr>
          <w:rFonts w:hint="eastAsia" w:ascii="宋体" w:hAnsi="宋体" w:cs="宋体"/>
          <w:b/>
          <w:lang w:val="en-US" w:eastAsia="zh-CN"/>
        </w:rPr>
        <w:t>。</w:t>
      </w:r>
    </w:p>
    <w:p w14:paraId="57FC7CA4">
      <w:pPr>
        <w:pStyle w:val="6"/>
        <w:widowControl/>
        <w:numPr>
          <w:ilvl w:val="0"/>
          <w:numId w:val="0"/>
        </w:numPr>
        <w:spacing w:before="0" w:beforeAutospacing="0" w:after="0" w:afterAutospacing="0" w:line="312" w:lineRule="auto"/>
        <w:ind w:left="482" w:leftChars="0" w:right="0" w:rightChars="0"/>
        <w:rPr>
          <w:rFonts w:hint="default" w:ascii="宋体" w:hAnsi="宋体" w:cs="宋体" w:eastAsiaTheme="minorEastAsia"/>
          <w:b w:val="0"/>
          <w:bCs/>
          <w:lang w:val="en-US" w:eastAsia="zh-CN"/>
        </w:rPr>
      </w:pPr>
      <w:r>
        <w:rPr>
          <w:rFonts w:hint="eastAsia" w:ascii="宋体" w:hAnsi="宋体" w:cs="宋体"/>
          <w:b/>
          <w:lang w:val="en-US" w:eastAsia="zh-CN"/>
        </w:rPr>
        <w:t>二、</w:t>
      </w:r>
      <w:r>
        <w:rPr>
          <w:rFonts w:hint="eastAsia" w:ascii="宋体" w:hAnsi="宋体" w:cs="宋体"/>
          <w:b/>
        </w:rPr>
        <w:t>活动</w:t>
      </w:r>
      <w:r>
        <w:rPr>
          <w:rFonts w:hint="eastAsia" w:ascii="宋体" w:hAnsi="宋体" w:cs="宋体"/>
          <w:b/>
          <w:lang w:val="en-US" w:eastAsia="zh-CN"/>
        </w:rPr>
        <w:t>主题</w:t>
      </w:r>
      <w:r>
        <w:rPr>
          <w:rFonts w:hint="eastAsia" w:ascii="宋体" w:hAnsi="宋体" w:cs="宋体"/>
          <w:b/>
        </w:rPr>
        <w:t>：</w:t>
      </w:r>
      <w:r>
        <w:rPr>
          <w:rFonts w:hint="eastAsia" w:ascii="宋体" w:hAnsi="宋体" w:cs="宋体"/>
          <w:b/>
          <w:lang w:val="en-US" w:eastAsia="zh-CN"/>
        </w:rPr>
        <w:t>法治赋能思政课堂 素养引领成长之路</w:t>
      </w:r>
    </w:p>
    <w:p w14:paraId="0890D1DB">
      <w:pPr>
        <w:pStyle w:val="6"/>
        <w:widowControl/>
        <w:numPr>
          <w:ilvl w:val="0"/>
          <w:numId w:val="0"/>
        </w:numPr>
        <w:spacing w:before="0" w:beforeAutospacing="0" w:after="0" w:afterAutospacing="0" w:line="312" w:lineRule="auto"/>
        <w:ind w:left="482" w:leftChars="0" w:right="0" w:rightChars="0"/>
        <w:rPr>
          <w:rFonts w:hint="eastAsia" w:ascii="宋体" w:hAnsi="宋体" w:cs="宋体"/>
        </w:rPr>
      </w:pPr>
      <w:r>
        <w:rPr>
          <w:rFonts w:hint="eastAsia" w:ascii="宋体" w:hAnsi="宋体" w:cs="宋体"/>
          <w:b/>
          <w:bCs/>
          <w:lang w:val="en-US" w:eastAsia="zh-CN"/>
        </w:rPr>
        <w:t>三、活动时间：</w:t>
      </w:r>
      <w:r>
        <w:rPr>
          <w:rFonts w:hint="eastAsia" w:ascii="宋体" w:hAnsi="宋体" w:cs="宋体"/>
        </w:rPr>
        <w:t>202</w:t>
      </w:r>
      <w:r>
        <w:rPr>
          <w:rFonts w:hint="eastAsia" w:ascii="宋体" w:hAnsi="宋体" w:cs="宋体"/>
          <w:lang w:val="en-US" w:eastAsia="zh-CN"/>
        </w:rPr>
        <w:t>6</w:t>
      </w:r>
      <w:r>
        <w:rPr>
          <w:rFonts w:hint="eastAsia" w:ascii="宋体" w:hAnsi="宋体" w:cs="宋体"/>
        </w:rPr>
        <w:t>年</w:t>
      </w:r>
      <w:r>
        <w:rPr>
          <w:rFonts w:hint="eastAsia" w:ascii="宋体" w:hAnsi="宋体" w:cs="宋体"/>
          <w:lang w:val="en-US" w:eastAsia="zh-CN"/>
        </w:rPr>
        <w:t>1</w:t>
      </w:r>
      <w:r>
        <w:rPr>
          <w:rFonts w:hint="eastAsia" w:ascii="宋体" w:hAnsi="宋体" w:cs="宋体"/>
        </w:rPr>
        <w:t>月</w:t>
      </w:r>
      <w:r>
        <w:rPr>
          <w:rFonts w:hint="eastAsia" w:ascii="宋体" w:hAnsi="宋体" w:cs="宋体"/>
          <w:lang w:val="en-US" w:eastAsia="zh-CN"/>
        </w:rPr>
        <w:t>22</w:t>
      </w:r>
      <w:r>
        <w:rPr>
          <w:rFonts w:hint="eastAsia" w:ascii="宋体" w:hAnsi="宋体" w:cs="宋体"/>
        </w:rPr>
        <w:t>日（周</w:t>
      </w:r>
      <w:r>
        <w:rPr>
          <w:rFonts w:hint="eastAsia" w:ascii="宋体" w:hAnsi="宋体" w:cs="宋体"/>
          <w:lang w:val="en-US" w:eastAsia="zh-CN"/>
        </w:rPr>
        <w:t>四</w:t>
      </w:r>
      <w:r>
        <w:rPr>
          <w:rFonts w:hint="eastAsia" w:ascii="宋体" w:hAnsi="宋体" w:cs="宋体"/>
        </w:rPr>
        <w:t>）下午</w:t>
      </w:r>
    </w:p>
    <w:p w14:paraId="580F273A">
      <w:pPr>
        <w:pStyle w:val="6"/>
        <w:widowControl/>
        <w:spacing w:before="0" w:beforeAutospacing="0" w:after="0" w:afterAutospacing="0" w:line="312" w:lineRule="auto"/>
        <w:ind w:firstLine="482" w:firstLineChars="200"/>
        <w:rPr>
          <w:rFonts w:hint="default" w:ascii="宋体" w:hAnsi="宋体" w:cs="宋体" w:eastAsiaTheme="minorEastAsia"/>
          <w:lang w:val="en-US" w:eastAsia="zh-CN"/>
        </w:rPr>
      </w:pPr>
      <w:r>
        <w:rPr>
          <w:rFonts w:hint="eastAsia" w:ascii="宋体" w:hAnsi="宋体" w:cs="宋体"/>
          <w:b/>
          <w:lang w:val="en-US" w:eastAsia="zh-CN"/>
        </w:rPr>
        <w:t>四</w:t>
      </w:r>
      <w:r>
        <w:rPr>
          <w:rFonts w:hint="eastAsia" w:ascii="宋体" w:hAnsi="宋体" w:cs="宋体"/>
          <w:b/>
        </w:rPr>
        <w:t>、活动地点：</w:t>
      </w:r>
      <w:r>
        <w:rPr>
          <w:rFonts w:hint="eastAsia" w:ascii="宋体" w:hAnsi="宋体" w:cs="宋体"/>
          <w:b w:val="0"/>
          <w:bCs/>
          <w:lang w:val="en-US" w:eastAsia="zh-CN"/>
        </w:rPr>
        <w:t>腾讯会议室</w:t>
      </w:r>
    </w:p>
    <w:p w14:paraId="46BB9EC9">
      <w:pPr>
        <w:pStyle w:val="6"/>
        <w:widowControl/>
        <w:spacing w:before="0" w:beforeAutospacing="0" w:after="0" w:afterAutospacing="0" w:line="312" w:lineRule="auto"/>
        <w:ind w:firstLine="482" w:firstLineChars="200"/>
        <w:rPr>
          <w:rFonts w:hint="eastAsia" w:ascii="宋体" w:hAnsi="宋体" w:cs="宋体"/>
        </w:rPr>
      </w:pPr>
      <w:r>
        <w:rPr>
          <w:rFonts w:hint="eastAsia" w:ascii="宋体" w:hAnsi="宋体" w:cs="宋体"/>
          <w:b/>
          <w:lang w:val="en-US" w:eastAsia="zh-CN"/>
        </w:rPr>
        <w:t>五</w:t>
      </w:r>
      <w:r>
        <w:rPr>
          <w:rFonts w:hint="eastAsia" w:ascii="宋体" w:hAnsi="宋体" w:cs="宋体"/>
          <w:b/>
        </w:rPr>
        <w:t>、参加人员：</w:t>
      </w:r>
      <w:r>
        <w:rPr>
          <w:rFonts w:hint="eastAsia" w:ascii="宋体" w:hAnsi="宋体" w:cs="宋体"/>
        </w:rPr>
        <w:t>新北区大中小学思政课一体化培育室全体成员</w:t>
      </w:r>
    </w:p>
    <w:p w14:paraId="0FA4A46B">
      <w:pPr>
        <w:spacing w:line="312" w:lineRule="auto"/>
        <w:ind w:firstLine="482" w:firstLineChars="200"/>
        <w:rPr>
          <w:rFonts w:hint="eastAsia"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、活动流程</w:t>
      </w:r>
    </w:p>
    <w:tbl>
      <w:tblPr>
        <w:tblStyle w:val="7"/>
        <w:tblW w:w="985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57"/>
        <w:gridCol w:w="3850"/>
        <w:gridCol w:w="2917"/>
      </w:tblGrid>
      <w:tr w14:paraId="634B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14:paraId="603EAFC8">
            <w:pPr>
              <w:spacing w:line="312" w:lineRule="auto"/>
              <w:jc w:val="center"/>
              <w:rPr>
                <w:rFonts w:hint="eastAsia" w:ascii="宋体" w:hAnsi="宋体" w:cs="宋体"/>
                <w:b/>
                <w:bCs/>
                <w:sz w:val="24"/>
              </w:rPr>
            </w:pPr>
            <w:r>
              <w:rPr>
                <w:rFonts w:hint="eastAsia" w:ascii="宋体" w:hAnsi="宋体" w:cs="宋体"/>
                <w:b/>
                <w:bCs/>
                <w:sz w:val="24"/>
              </w:rPr>
              <w:t>环节</w:t>
            </w:r>
          </w:p>
        </w:tc>
        <w:tc>
          <w:tcPr>
            <w:tcW w:w="1557" w:type="dxa"/>
            <w:noWrap w:val="0"/>
            <w:vAlign w:val="center"/>
          </w:tcPr>
          <w:p w14:paraId="3E7DFA35">
            <w:pPr>
              <w:spacing w:line="312" w:lineRule="auto"/>
              <w:jc w:val="center"/>
              <w:rPr>
                <w:rFonts w:hint="eastAsia" w:ascii="宋体" w:hAnsi="宋体" w:cs="宋体"/>
                <w:b/>
                <w:bCs/>
                <w:sz w:val="24"/>
              </w:rPr>
            </w:pPr>
            <w:r>
              <w:rPr>
                <w:rFonts w:hint="eastAsia" w:ascii="宋体" w:hAnsi="宋体" w:cs="宋体"/>
                <w:b/>
                <w:bCs/>
                <w:sz w:val="24"/>
              </w:rPr>
              <w:t>时间</w:t>
            </w:r>
          </w:p>
        </w:tc>
        <w:tc>
          <w:tcPr>
            <w:tcW w:w="3850" w:type="dxa"/>
            <w:noWrap w:val="0"/>
            <w:vAlign w:val="center"/>
          </w:tcPr>
          <w:p w14:paraId="065C69E7">
            <w:pPr>
              <w:spacing w:line="312" w:lineRule="auto"/>
              <w:jc w:val="center"/>
              <w:rPr>
                <w:rFonts w:hint="eastAsia" w:ascii="宋体" w:hAnsi="宋体" w:cs="宋体"/>
                <w:b/>
                <w:bCs/>
                <w:sz w:val="24"/>
              </w:rPr>
            </w:pPr>
            <w:r>
              <w:rPr>
                <w:rFonts w:hint="eastAsia" w:ascii="宋体" w:hAnsi="宋体" w:cs="宋体"/>
                <w:b/>
                <w:bCs/>
                <w:sz w:val="24"/>
              </w:rPr>
              <w:t>内容</w:t>
            </w:r>
          </w:p>
        </w:tc>
        <w:tc>
          <w:tcPr>
            <w:tcW w:w="2917" w:type="dxa"/>
            <w:noWrap w:val="0"/>
            <w:vAlign w:val="center"/>
          </w:tcPr>
          <w:p w14:paraId="0C1943F2">
            <w:pPr>
              <w:spacing w:line="312" w:lineRule="auto"/>
              <w:jc w:val="center"/>
              <w:rPr>
                <w:rFonts w:hint="eastAsia" w:ascii="宋体" w:hAnsi="宋体" w:cs="宋体"/>
                <w:b/>
                <w:bCs/>
                <w:sz w:val="24"/>
              </w:rPr>
            </w:pPr>
            <w:r>
              <w:rPr>
                <w:rFonts w:hint="eastAsia" w:ascii="宋体" w:hAnsi="宋体" w:cs="宋体"/>
                <w:b/>
                <w:bCs/>
                <w:sz w:val="24"/>
              </w:rPr>
              <w:t>负责人</w:t>
            </w:r>
          </w:p>
        </w:tc>
      </w:tr>
      <w:tr w14:paraId="6BC9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28" w:type="dxa"/>
            <w:vMerge w:val="restart"/>
            <w:noWrap w:val="0"/>
            <w:vAlign w:val="center"/>
          </w:tcPr>
          <w:p w14:paraId="033D7F2C">
            <w:pPr>
              <w:spacing w:line="312" w:lineRule="auto"/>
              <w:jc w:val="center"/>
              <w:rPr>
                <w:rFonts w:hint="eastAsia" w:ascii="宋体" w:hAnsi="宋体" w:cs="宋体"/>
                <w:sz w:val="24"/>
              </w:rPr>
            </w:pPr>
            <w:r>
              <w:rPr>
                <w:rFonts w:hint="eastAsia" w:ascii="宋体" w:hAnsi="宋体" w:cs="宋体"/>
                <w:sz w:val="24"/>
              </w:rPr>
              <w:t>【环节一】</w:t>
            </w:r>
          </w:p>
          <w:p w14:paraId="6B712426">
            <w:pPr>
              <w:spacing w:line="312" w:lineRule="auto"/>
              <w:jc w:val="center"/>
              <w:rPr>
                <w:rFonts w:hint="eastAsia" w:ascii="宋体" w:hAnsi="宋体" w:cs="宋体"/>
                <w:sz w:val="24"/>
              </w:rPr>
            </w:pPr>
            <w:r>
              <w:rPr>
                <w:rFonts w:hint="eastAsia" w:ascii="宋体" w:hAnsi="宋体" w:cs="宋体"/>
                <w:sz w:val="24"/>
              </w:rPr>
              <w:t>课堂思政</w:t>
            </w:r>
          </w:p>
        </w:tc>
        <w:tc>
          <w:tcPr>
            <w:tcW w:w="1557" w:type="dxa"/>
            <w:noWrap w:val="0"/>
            <w:vAlign w:val="center"/>
          </w:tcPr>
          <w:p w14:paraId="786DCE0F">
            <w:pPr>
              <w:spacing w:line="312" w:lineRule="auto"/>
              <w:jc w:val="center"/>
              <w:rPr>
                <w:rFonts w:hint="default" w:ascii="宋体" w:hAnsi="宋体" w:cs="宋体" w:eastAsiaTheme="minorEastAsia"/>
                <w:sz w:val="24"/>
                <w:lang w:val="en-US" w:eastAsia="zh-CN"/>
              </w:rPr>
            </w:pPr>
            <w:r>
              <w:rPr>
                <w:rFonts w:hint="eastAsia" w:ascii="宋体" w:hAnsi="宋体" w:cs="宋体"/>
                <w:sz w:val="24"/>
              </w:rPr>
              <w:t>13:</w:t>
            </w:r>
            <w:r>
              <w:rPr>
                <w:rFonts w:hint="eastAsia" w:ascii="宋体" w:hAnsi="宋体" w:cs="宋体"/>
                <w:sz w:val="24"/>
                <w:lang w:val="en-US" w:eastAsia="zh-CN"/>
              </w:rPr>
              <w:t>2</w:t>
            </w:r>
            <w:r>
              <w:rPr>
                <w:rFonts w:hint="eastAsia" w:ascii="宋体" w:hAnsi="宋体" w:cs="宋体"/>
                <w:sz w:val="24"/>
              </w:rPr>
              <w:t>0-1</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00</w:t>
            </w:r>
          </w:p>
        </w:tc>
        <w:tc>
          <w:tcPr>
            <w:tcW w:w="3850" w:type="dxa"/>
            <w:noWrap w:val="0"/>
            <w:vAlign w:val="center"/>
          </w:tcPr>
          <w:p w14:paraId="7C2294EB">
            <w:pPr>
              <w:spacing w:line="312" w:lineRule="auto"/>
              <w:jc w:val="center"/>
              <w:rPr>
                <w:rFonts w:hint="eastAsia" w:ascii="宋体" w:hAnsi="宋体" w:cs="宋体"/>
                <w:sz w:val="24"/>
              </w:rPr>
            </w:pPr>
            <w:r>
              <w:rPr>
                <w:rFonts w:hint="eastAsia" w:ascii="宋体" w:hAnsi="宋体" w:cs="宋体"/>
                <w:sz w:val="24"/>
                <w:lang w:val="en-US" w:eastAsia="zh-CN"/>
              </w:rPr>
              <w:t>六年级</w:t>
            </w:r>
            <w:r>
              <w:rPr>
                <w:rFonts w:hint="eastAsia" w:ascii="宋体" w:hAnsi="宋体" w:cs="宋体"/>
                <w:sz w:val="24"/>
              </w:rPr>
              <w:t>《</w:t>
            </w:r>
            <w:r>
              <w:rPr>
                <w:rFonts w:hint="eastAsia" w:ascii="宋体" w:hAnsi="宋体" w:cs="宋体"/>
                <w:sz w:val="24"/>
                <w:lang w:val="en-US" w:eastAsia="zh-CN"/>
              </w:rPr>
              <w:t>守法不违法</w:t>
            </w:r>
            <w:r>
              <w:rPr>
                <w:rFonts w:hint="eastAsia" w:ascii="宋体" w:hAnsi="宋体" w:cs="宋体"/>
                <w:sz w:val="24"/>
              </w:rPr>
              <w:t xml:space="preserve">》 </w:t>
            </w:r>
          </w:p>
        </w:tc>
        <w:tc>
          <w:tcPr>
            <w:tcW w:w="2917" w:type="dxa"/>
            <w:noWrap w:val="0"/>
            <w:vAlign w:val="center"/>
          </w:tcPr>
          <w:p w14:paraId="37B0162B">
            <w:pPr>
              <w:spacing w:line="312"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飞龙实验小学</w:t>
            </w:r>
            <w:r>
              <w:rPr>
                <w:rFonts w:hint="eastAsia" w:ascii="宋体" w:hAnsi="宋体" w:cs="宋体"/>
                <w:sz w:val="24"/>
              </w:rPr>
              <w:t xml:space="preserve"> </w:t>
            </w:r>
            <w:r>
              <w:rPr>
                <w:rFonts w:hint="eastAsia" w:ascii="宋体" w:hAnsi="宋体" w:cs="宋体"/>
                <w:sz w:val="24"/>
                <w:lang w:val="en-US" w:eastAsia="zh-CN"/>
              </w:rPr>
              <w:t>马璐</w:t>
            </w:r>
          </w:p>
        </w:tc>
      </w:tr>
      <w:tr w14:paraId="7F35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28" w:type="dxa"/>
            <w:vMerge w:val="continue"/>
            <w:noWrap w:val="0"/>
            <w:vAlign w:val="center"/>
          </w:tcPr>
          <w:p w14:paraId="1298C7D5">
            <w:pPr>
              <w:spacing w:line="312" w:lineRule="auto"/>
              <w:jc w:val="center"/>
              <w:rPr>
                <w:rFonts w:hint="eastAsia" w:ascii="宋体" w:hAnsi="宋体" w:cs="宋体"/>
                <w:sz w:val="24"/>
              </w:rPr>
            </w:pPr>
          </w:p>
        </w:tc>
        <w:tc>
          <w:tcPr>
            <w:tcW w:w="1557" w:type="dxa"/>
            <w:noWrap w:val="0"/>
            <w:vAlign w:val="center"/>
          </w:tcPr>
          <w:p w14:paraId="67D8652D">
            <w:pPr>
              <w:spacing w:line="312"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15</w:t>
            </w: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5</w:t>
            </w:r>
          </w:p>
        </w:tc>
        <w:tc>
          <w:tcPr>
            <w:tcW w:w="3850" w:type="dxa"/>
            <w:noWrap w:val="0"/>
            <w:vAlign w:val="center"/>
          </w:tcPr>
          <w:p w14:paraId="223FD2C3">
            <w:pPr>
              <w:spacing w:line="312" w:lineRule="auto"/>
              <w:jc w:val="center"/>
              <w:rPr>
                <w:rFonts w:hint="eastAsia" w:ascii="宋体" w:hAnsi="宋体" w:cs="宋体"/>
                <w:sz w:val="24"/>
              </w:rPr>
            </w:pPr>
            <w:r>
              <w:rPr>
                <w:rFonts w:hint="eastAsia" w:ascii="宋体" w:hAnsi="宋体" w:cs="宋体"/>
                <w:sz w:val="24"/>
                <w:lang w:val="en-US" w:eastAsia="zh-CN"/>
              </w:rPr>
              <w:t>四年级</w:t>
            </w:r>
            <w:r>
              <w:rPr>
                <w:rFonts w:hint="eastAsia" w:ascii="宋体" w:hAnsi="宋体" w:cs="宋体"/>
                <w:sz w:val="24"/>
              </w:rPr>
              <w:t>《</w:t>
            </w:r>
            <w:r>
              <w:rPr>
                <w:rFonts w:ascii="宋体" w:hAnsi="宋体" w:eastAsia="宋体" w:cs="宋体"/>
                <w:sz w:val="24"/>
                <w:szCs w:val="24"/>
              </w:rPr>
              <w:t>网络新世界</w:t>
            </w:r>
            <w:r>
              <w:rPr>
                <w:rFonts w:hint="eastAsia" w:ascii="宋体" w:hAnsi="宋体" w:cs="宋体"/>
                <w:sz w:val="24"/>
              </w:rPr>
              <w:t>》</w:t>
            </w:r>
          </w:p>
        </w:tc>
        <w:tc>
          <w:tcPr>
            <w:tcW w:w="2917" w:type="dxa"/>
            <w:noWrap w:val="0"/>
            <w:vAlign w:val="center"/>
          </w:tcPr>
          <w:p w14:paraId="64576F73">
            <w:pPr>
              <w:spacing w:line="312" w:lineRule="auto"/>
              <w:jc w:val="center"/>
              <w:rPr>
                <w:rFonts w:hint="default" w:ascii="宋体" w:hAnsi="宋体" w:eastAsia="宋体" w:cs="宋体"/>
                <w:sz w:val="24"/>
                <w:lang w:val="en-US" w:eastAsia="zh-CN"/>
              </w:rPr>
            </w:pPr>
            <w:r>
              <w:rPr>
                <w:rFonts w:hint="eastAsia" w:ascii="宋体" w:hAnsi="宋体" w:cs="宋体"/>
                <w:sz w:val="24"/>
                <w:lang w:val="en-US" w:eastAsia="zh-CN"/>
              </w:rPr>
              <w:t>飞龙实验小学 李叶男</w:t>
            </w:r>
          </w:p>
        </w:tc>
      </w:tr>
      <w:tr w14:paraId="2768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14:paraId="4BF898E5">
            <w:pPr>
              <w:spacing w:line="312" w:lineRule="auto"/>
              <w:jc w:val="center"/>
              <w:rPr>
                <w:rFonts w:hint="eastAsia" w:ascii="宋体" w:hAnsi="宋体" w:cs="宋体"/>
                <w:sz w:val="24"/>
              </w:rPr>
            </w:pPr>
            <w:r>
              <w:rPr>
                <w:rFonts w:hint="eastAsia" w:ascii="宋体" w:hAnsi="宋体" w:cs="宋体"/>
                <w:sz w:val="24"/>
              </w:rPr>
              <w:t>【环节二】</w:t>
            </w:r>
          </w:p>
          <w:p w14:paraId="7B4254F7">
            <w:pPr>
              <w:spacing w:line="312" w:lineRule="auto"/>
              <w:jc w:val="center"/>
              <w:rPr>
                <w:rFonts w:ascii="宋体" w:hAnsi="宋体" w:cs="宋体"/>
                <w:sz w:val="24"/>
              </w:rPr>
            </w:pPr>
            <w:r>
              <w:rPr>
                <w:rFonts w:hint="eastAsia" w:ascii="宋体" w:hAnsi="宋体" w:cs="宋体"/>
                <w:sz w:val="24"/>
              </w:rPr>
              <w:t>思政学习</w:t>
            </w:r>
          </w:p>
        </w:tc>
        <w:tc>
          <w:tcPr>
            <w:tcW w:w="1557" w:type="dxa"/>
            <w:noWrap w:val="0"/>
            <w:vAlign w:val="center"/>
          </w:tcPr>
          <w:p w14:paraId="2F989CD7">
            <w:pPr>
              <w:spacing w:line="312"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05</w:t>
            </w: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:50</w:t>
            </w:r>
          </w:p>
        </w:tc>
        <w:tc>
          <w:tcPr>
            <w:tcW w:w="3850" w:type="dxa"/>
            <w:noWrap w:val="0"/>
            <w:vAlign w:val="center"/>
          </w:tcPr>
          <w:p w14:paraId="24C6709B">
            <w:pPr>
              <w:spacing w:line="312" w:lineRule="auto"/>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《从思政角度看网红鸡排哥》</w:t>
            </w:r>
          </w:p>
        </w:tc>
        <w:tc>
          <w:tcPr>
            <w:tcW w:w="2917" w:type="dxa"/>
            <w:noWrap w:val="0"/>
            <w:vAlign w:val="center"/>
          </w:tcPr>
          <w:p w14:paraId="4A9D163F">
            <w:pPr>
              <w:spacing w:line="312" w:lineRule="auto"/>
              <w:jc w:val="center"/>
              <w:rPr>
                <w:rFonts w:hint="default" w:ascii="宋体" w:hAnsi="宋体" w:cs="宋体" w:eastAsiaTheme="minorEastAsia"/>
                <w:color w:val="000000"/>
                <w:sz w:val="24"/>
                <w:lang w:val="en-US" w:eastAsia="zh-CN"/>
              </w:rPr>
            </w:pPr>
            <w:r>
              <w:rPr>
                <w:rFonts w:hint="eastAsia" w:ascii="宋体" w:hAnsi="宋体" w:cs="宋体"/>
                <w:color w:val="000000"/>
                <w:sz w:val="24"/>
                <w:lang w:val="en-US" w:eastAsia="zh-CN"/>
              </w:rPr>
              <w:t>飞龙实验小学 李叶男</w:t>
            </w:r>
          </w:p>
        </w:tc>
      </w:tr>
      <w:tr w14:paraId="77D5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14:paraId="49CC9145">
            <w:pPr>
              <w:spacing w:line="312" w:lineRule="auto"/>
              <w:jc w:val="center"/>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三</w:t>
            </w:r>
            <w:r>
              <w:rPr>
                <w:rFonts w:hint="eastAsia" w:ascii="宋体" w:hAnsi="宋体" w:cs="宋体"/>
                <w:sz w:val="24"/>
              </w:rPr>
              <w:t>】</w:t>
            </w:r>
          </w:p>
          <w:p w14:paraId="318CA6CA">
            <w:pPr>
              <w:spacing w:line="312" w:lineRule="auto"/>
              <w:jc w:val="center"/>
              <w:rPr>
                <w:rFonts w:hint="eastAsia" w:ascii="宋体" w:hAnsi="宋体" w:cs="宋体"/>
                <w:sz w:val="24"/>
              </w:rPr>
            </w:pPr>
            <w:r>
              <w:rPr>
                <w:rFonts w:hint="eastAsia" w:ascii="宋体" w:hAnsi="宋体" w:cs="宋体"/>
                <w:sz w:val="24"/>
              </w:rPr>
              <w:t>沙龙研讨</w:t>
            </w:r>
          </w:p>
        </w:tc>
        <w:tc>
          <w:tcPr>
            <w:tcW w:w="1557" w:type="dxa"/>
            <w:noWrap w:val="0"/>
            <w:vAlign w:val="center"/>
          </w:tcPr>
          <w:p w14:paraId="4E908206">
            <w:pPr>
              <w:spacing w:line="312" w:lineRule="auto"/>
              <w:jc w:val="center"/>
              <w:rPr>
                <w:rFonts w:hint="default"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:00-1</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15</w:t>
            </w:r>
          </w:p>
        </w:tc>
        <w:tc>
          <w:tcPr>
            <w:tcW w:w="3850" w:type="dxa"/>
            <w:noWrap w:val="0"/>
            <w:vAlign w:val="center"/>
          </w:tcPr>
          <w:p w14:paraId="332EDD9D">
            <w:pPr>
              <w:spacing w:line="312" w:lineRule="auto"/>
              <w:jc w:val="center"/>
              <w:rPr>
                <w:rFonts w:hint="eastAsia" w:ascii="宋体" w:hAnsi="宋体" w:eastAsia="宋体" w:cs="宋体"/>
                <w:color w:val="000000"/>
                <w:sz w:val="24"/>
                <w:lang w:eastAsia="zh-CN"/>
              </w:rPr>
            </w:pPr>
            <w:r>
              <w:rPr>
                <w:rFonts w:hint="eastAsia" w:ascii="宋体" w:hAnsi="宋体" w:cs="宋体"/>
                <w:color w:val="000000"/>
                <w:sz w:val="24"/>
              </w:rPr>
              <w:t>教师说课、评课</w:t>
            </w:r>
          </w:p>
        </w:tc>
        <w:tc>
          <w:tcPr>
            <w:tcW w:w="2917" w:type="dxa"/>
            <w:noWrap w:val="0"/>
            <w:vAlign w:val="center"/>
          </w:tcPr>
          <w:p w14:paraId="0C625BC4">
            <w:pPr>
              <w:spacing w:line="312" w:lineRule="auto"/>
              <w:jc w:val="center"/>
              <w:rPr>
                <w:rFonts w:ascii="宋体" w:hAnsi="宋体" w:cs="宋体"/>
                <w:color w:val="000000"/>
                <w:sz w:val="24"/>
              </w:rPr>
            </w:pPr>
            <w:r>
              <w:rPr>
                <w:rFonts w:hint="eastAsia" w:ascii="宋体" w:hAnsi="宋体" w:cs="宋体"/>
                <w:color w:val="000000"/>
                <w:sz w:val="24"/>
              </w:rPr>
              <w:t>培育室全体成员</w:t>
            </w:r>
          </w:p>
        </w:tc>
      </w:tr>
      <w:tr w14:paraId="299F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28" w:type="dxa"/>
            <w:noWrap w:val="0"/>
            <w:vAlign w:val="center"/>
          </w:tcPr>
          <w:p w14:paraId="2A037858">
            <w:pPr>
              <w:spacing w:line="312" w:lineRule="auto"/>
              <w:jc w:val="center"/>
              <w:rPr>
                <w:rFonts w:hint="eastAsia" w:ascii="宋体" w:hAnsi="宋体" w:cs="宋体"/>
                <w:sz w:val="24"/>
              </w:rPr>
            </w:pPr>
            <w:r>
              <w:rPr>
                <w:rFonts w:hint="eastAsia" w:ascii="宋体" w:hAnsi="宋体" w:cs="宋体"/>
                <w:sz w:val="24"/>
              </w:rPr>
              <w:t>【环节五】</w:t>
            </w:r>
          </w:p>
          <w:p w14:paraId="56E44903">
            <w:pPr>
              <w:spacing w:line="312" w:lineRule="auto"/>
              <w:jc w:val="center"/>
              <w:rPr>
                <w:rFonts w:ascii="宋体" w:hAnsi="宋体" w:cs="宋体"/>
                <w:sz w:val="24"/>
              </w:rPr>
            </w:pPr>
            <w:r>
              <w:rPr>
                <w:rFonts w:hint="eastAsia" w:ascii="宋体" w:hAnsi="宋体" w:cs="宋体"/>
                <w:sz w:val="24"/>
              </w:rPr>
              <w:t>引领提升</w:t>
            </w:r>
          </w:p>
        </w:tc>
        <w:tc>
          <w:tcPr>
            <w:tcW w:w="1557" w:type="dxa"/>
            <w:noWrap w:val="0"/>
            <w:vAlign w:val="center"/>
          </w:tcPr>
          <w:p w14:paraId="2B88E82F">
            <w:pPr>
              <w:spacing w:line="312" w:lineRule="auto"/>
              <w:jc w:val="center"/>
              <w:rPr>
                <w:rFonts w:hint="default"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15</w:t>
            </w:r>
            <w:r>
              <w:rPr>
                <w:rFonts w:hint="eastAsia" w:ascii="宋体" w:hAnsi="宋体" w:cs="宋体"/>
                <w:sz w:val="24"/>
              </w:rPr>
              <w:t>-16:</w:t>
            </w:r>
            <w:r>
              <w:rPr>
                <w:rFonts w:hint="eastAsia" w:ascii="宋体" w:hAnsi="宋体" w:cs="宋体"/>
                <w:sz w:val="24"/>
                <w:lang w:val="en-US" w:eastAsia="zh-CN"/>
              </w:rPr>
              <w:t>50</w:t>
            </w:r>
          </w:p>
        </w:tc>
        <w:tc>
          <w:tcPr>
            <w:tcW w:w="3850" w:type="dxa"/>
            <w:noWrap w:val="0"/>
            <w:vAlign w:val="center"/>
          </w:tcPr>
          <w:p w14:paraId="6597D3D0">
            <w:pPr>
              <w:spacing w:line="312" w:lineRule="auto"/>
              <w:jc w:val="center"/>
              <w:rPr>
                <w:rFonts w:ascii="宋体" w:hAnsi="宋体" w:cs="宋体"/>
                <w:color w:val="000000"/>
                <w:sz w:val="24"/>
              </w:rPr>
            </w:pPr>
            <w:r>
              <w:rPr>
                <w:rFonts w:hint="eastAsia" w:ascii="宋体" w:hAnsi="宋体" w:cs="宋体"/>
                <w:color w:val="000000"/>
                <w:sz w:val="24"/>
              </w:rPr>
              <w:t>总结提升、专家引领</w:t>
            </w:r>
          </w:p>
        </w:tc>
        <w:tc>
          <w:tcPr>
            <w:tcW w:w="2917" w:type="dxa"/>
            <w:noWrap w:val="0"/>
            <w:vAlign w:val="center"/>
          </w:tcPr>
          <w:p w14:paraId="6363D6C0">
            <w:pPr>
              <w:spacing w:line="312" w:lineRule="auto"/>
              <w:jc w:val="center"/>
              <w:rPr>
                <w:rFonts w:ascii="宋体" w:hAnsi="宋体" w:cs="宋体"/>
                <w:color w:val="000000"/>
                <w:sz w:val="24"/>
              </w:rPr>
            </w:pPr>
            <w:r>
              <w:rPr>
                <w:rFonts w:hint="eastAsia" w:ascii="宋体" w:hAnsi="宋体" w:cs="宋体"/>
                <w:color w:val="000000"/>
                <w:sz w:val="24"/>
              </w:rPr>
              <w:t xml:space="preserve"> 吴海燕  </w:t>
            </w:r>
          </w:p>
        </w:tc>
      </w:tr>
    </w:tbl>
    <w:p w14:paraId="39F0E3FF">
      <w:pPr>
        <w:spacing w:line="312" w:lineRule="auto"/>
        <w:ind w:firstLine="482" w:firstLineChars="200"/>
        <w:rPr>
          <w:rFonts w:hint="eastAsia" w:ascii="宋体" w:hAnsi="宋体" w:cs="宋体"/>
          <w:b/>
          <w:bCs/>
          <w:sz w:val="24"/>
        </w:rPr>
      </w:pPr>
      <w:r>
        <w:rPr>
          <w:rFonts w:hint="eastAsia" w:ascii="宋体" w:hAnsi="宋体" w:cs="宋体"/>
          <w:b/>
          <w:bCs/>
          <w:sz w:val="24"/>
        </w:rPr>
        <w:t>七、其他安排</w:t>
      </w:r>
    </w:p>
    <w:p w14:paraId="52E2AA3D">
      <w:pPr>
        <w:spacing w:line="312" w:lineRule="auto"/>
        <w:ind w:firstLine="420"/>
        <w:rPr>
          <w:rFonts w:hint="eastAsia" w:ascii="宋体" w:hAnsi="宋体" w:cs="宋体"/>
          <w:sz w:val="24"/>
        </w:rPr>
      </w:pPr>
      <w:r>
        <w:rPr>
          <w:rFonts w:hint="eastAsia" w:ascii="宋体" w:hAnsi="宋体" w:cs="宋体"/>
          <w:sz w:val="24"/>
        </w:rPr>
        <w:t>1.活动组织、主持：吴海燕</w:t>
      </w:r>
    </w:p>
    <w:p w14:paraId="1437B493">
      <w:pPr>
        <w:spacing w:line="312" w:lineRule="auto"/>
        <w:ind w:firstLine="420"/>
        <w:rPr>
          <w:rFonts w:hint="eastAsia" w:ascii="宋体" w:hAnsi="宋体" w:cs="宋体" w:eastAsiaTheme="minorEastAsia"/>
          <w:sz w:val="24"/>
          <w:lang w:val="en-US" w:eastAsia="zh-CN"/>
        </w:rPr>
      </w:pPr>
      <w:r>
        <w:rPr>
          <w:rFonts w:hint="eastAsia" w:ascii="宋体" w:hAnsi="宋体" w:cs="宋体"/>
          <w:sz w:val="24"/>
        </w:rPr>
        <w:t>2.活动通知、摄影报道：</w:t>
      </w:r>
      <w:r>
        <w:rPr>
          <w:rFonts w:hint="eastAsia" w:ascii="宋体" w:hAnsi="宋体" w:cs="宋体"/>
          <w:sz w:val="24"/>
          <w:lang w:val="en-US" w:eastAsia="zh-CN"/>
        </w:rPr>
        <w:t>袁媛</w:t>
      </w:r>
    </w:p>
    <w:p w14:paraId="1D4B3658">
      <w:pPr>
        <w:spacing w:line="312" w:lineRule="auto"/>
        <w:ind w:firstLine="420"/>
        <w:rPr>
          <w:rFonts w:hint="eastAsia" w:ascii="宋体" w:hAnsi="宋体" w:cs="宋体"/>
          <w:sz w:val="24"/>
        </w:rPr>
      </w:pPr>
      <w:r>
        <w:rPr>
          <w:rFonts w:hint="eastAsia" w:ascii="宋体" w:hAnsi="宋体" w:cs="宋体"/>
          <w:sz w:val="24"/>
        </w:rPr>
        <w:t>3.签到点名、活动简报：</w:t>
      </w:r>
      <w:r>
        <w:rPr>
          <w:rFonts w:hint="eastAsia" w:ascii="宋体" w:hAnsi="宋体" w:cs="宋体"/>
          <w:sz w:val="24"/>
          <w:lang w:val="en-US" w:eastAsia="zh-CN"/>
        </w:rPr>
        <w:t>沈佳敏</w:t>
      </w:r>
      <w:r>
        <w:rPr>
          <w:rFonts w:hint="eastAsia" w:ascii="宋体" w:hAnsi="宋体" w:cs="宋体"/>
          <w:sz w:val="24"/>
        </w:rPr>
        <w:t xml:space="preserve">       </w:t>
      </w:r>
    </w:p>
    <w:p w14:paraId="7E51CEBE">
      <w:pPr>
        <w:spacing w:line="312" w:lineRule="auto"/>
        <w:jc w:val="right"/>
        <w:rPr>
          <w:rFonts w:hint="eastAsia" w:ascii="宋体" w:hAnsi="宋体" w:cs="宋体"/>
          <w:sz w:val="24"/>
        </w:rPr>
      </w:pPr>
      <w:r>
        <w:rPr>
          <w:rFonts w:hint="eastAsia" w:ascii="宋体" w:hAnsi="宋体" w:cs="宋体"/>
          <w:sz w:val="24"/>
        </w:rPr>
        <w:t xml:space="preserve">    新北区大中小学思政课一体化培育室</w:t>
      </w:r>
    </w:p>
    <w:p w14:paraId="675B693D">
      <w:pPr>
        <w:spacing w:line="312" w:lineRule="auto"/>
        <w:jc w:val="right"/>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16</w:t>
      </w:r>
      <w:r>
        <w:rPr>
          <w:rFonts w:hint="eastAsia" w:ascii="宋体" w:hAnsi="宋体" w:cs="宋体"/>
          <w:sz w:val="24"/>
        </w:rPr>
        <w:t>日</w:t>
      </w:r>
    </w:p>
    <w:p w14:paraId="0E5CDBE8">
      <w:pPr>
        <w:jc w:val="both"/>
        <w:rPr>
          <w:rFonts w:hint="eastAsia" w:ascii="微软雅黑" w:hAnsi="微软雅黑" w:eastAsia="微软雅黑" w:cs="微软雅黑"/>
          <w:b w:val="0"/>
          <w:bCs w:val="0"/>
          <w:color w:val="FF0000"/>
          <w:sz w:val="28"/>
          <w:szCs w:val="28"/>
          <w:lang w:val="en-US" w:eastAsia="zh-CN"/>
        </w:rPr>
      </w:pPr>
    </w:p>
    <w:p w14:paraId="705FDD15">
      <w:pPr>
        <w:jc w:val="both"/>
        <w:rPr>
          <w:rFonts w:hint="eastAsia" w:ascii="微软雅黑" w:hAnsi="微软雅黑" w:eastAsia="微软雅黑" w:cs="微软雅黑"/>
          <w:b w:val="0"/>
          <w:bCs w:val="0"/>
          <w:color w:val="FF0000"/>
          <w:sz w:val="28"/>
          <w:szCs w:val="28"/>
          <w:lang w:val="en-US" w:eastAsia="zh-CN"/>
        </w:rPr>
      </w:pPr>
    </w:p>
    <w:p w14:paraId="15CA2E4F">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【二、活动签到】线上学习</w:t>
      </w:r>
    </w:p>
    <w:p w14:paraId="1A28BB68">
      <w:pPr>
        <w:jc w:val="both"/>
        <w:rPr>
          <w:rFonts w:hint="eastAsia" w:ascii="华文宋体" w:hAnsi="华文宋体" w:eastAsia="华文宋体" w:cs="华文宋体"/>
          <w:b w:val="0"/>
          <w:bCs w:val="0"/>
          <w:color w:val="000000" w:themeColor="text1"/>
          <w:sz w:val="24"/>
          <w:szCs w:val="24"/>
          <w:lang w:val="en-US" w:eastAsia="zh-CN"/>
          <w14:textFill>
            <w14:solidFill>
              <w14:schemeClr w14:val="tx1"/>
            </w14:solidFill>
          </w14:textFill>
        </w:rPr>
      </w:pPr>
      <w:r>
        <w:rPr>
          <w:rFonts w:hint="eastAsia" w:ascii="华文宋体" w:hAnsi="华文宋体" w:eastAsia="华文宋体" w:cs="华文宋体"/>
          <w:b w:val="0"/>
          <w:bCs w:val="0"/>
          <w:color w:val="000000" w:themeColor="text1"/>
          <w:sz w:val="24"/>
          <w:szCs w:val="24"/>
          <w:lang w:val="en-US" w:eastAsia="zh-CN"/>
          <w14:textFill>
            <w14:solidFill>
              <w14:schemeClr w14:val="tx1"/>
            </w14:solidFill>
          </w14:textFill>
        </w:rPr>
        <w:t>【腾讯文档】第34次活动观课点评</w:t>
      </w:r>
    </w:p>
    <w:p w14:paraId="1E461025">
      <w:pPr>
        <w:jc w:val="both"/>
        <w:rPr>
          <w:rFonts w:hint="eastAsia" w:ascii="华文宋体" w:hAnsi="华文宋体" w:eastAsia="华文宋体" w:cs="华文宋体"/>
          <w:b w:val="0"/>
          <w:bCs w:val="0"/>
          <w:color w:val="000000" w:themeColor="text1"/>
          <w:sz w:val="24"/>
          <w:szCs w:val="24"/>
          <w:lang w:val="en-US" w:eastAsia="zh-CN"/>
          <w14:textFill>
            <w14:solidFill>
              <w14:schemeClr w14:val="tx1"/>
            </w14:solidFill>
          </w14:textFill>
        </w:rPr>
      </w:pPr>
      <w:r>
        <w:rPr>
          <w:rFonts w:hint="eastAsia" w:ascii="华文宋体" w:hAnsi="华文宋体" w:eastAsia="华文宋体" w:cs="华文宋体"/>
          <w:b w:val="0"/>
          <w:bCs w:val="0"/>
          <w:color w:val="000000" w:themeColor="text1"/>
          <w:sz w:val="24"/>
          <w:szCs w:val="24"/>
          <w:lang w:val="en-US" w:eastAsia="zh-CN"/>
          <w14:textFill>
            <w14:solidFill>
              <w14:schemeClr w14:val="tx1"/>
            </w14:solidFill>
          </w14:textFill>
        </w:rPr>
        <w:t>https://docs.qq.com/sheet/DT0RpSGhqaVZJUXpR</w:t>
      </w:r>
    </w:p>
    <w:p w14:paraId="474EEEDB">
      <w:pPr>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14:paraId="498AEE94">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14:paraId="7FB060A1">
      <w:pPr>
        <w:jc w:val="left"/>
        <w:rPr>
          <w:rFonts w:hint="default" w:ascii="仿宋" w:hAnsi="仿宋" w:eastAsia="仿宋" w:cs="仿宋"/>
          <w:sz w:val="21"/>
          <w:szCs w:val="21"/>
          <w:lang w:val="en-US" w:eastAsia="zh-CN"/>
        </w:rPr>
      </w:pPr>
      <w:r>
        <w:rPr>
          <w:rFonts w:hint="eastAsia" w:ascii="宋体" w:hAnsi="宋体" w:eastAsia="宋体" w:cs="宋体"/>
          <w:b/>
          <w:bCs/>
          <w:sz w:val="28"/>
          <w:szCs w:val="28"/>
          <w:vertAlign w:val="baseline"/>
          <w:lang w:val="en-US" w:eastAsia="zh-CN"/>
        </w:rPr>
        <w:t>飞龙实验小学  马璐《守法不违法》</w:t>
      </w:r>
    </w:p>
    <w:p w14:paraId="565C61C2">
      <w:pPr>
        <w:rPr>
          <w:rFonts w:hint="eastAsia"/>
          <w:lang w:val="en-US" w:eastAsia="zh-CN"/>
        </w:rPr>
      </w:pPr>
    </w:p>
    <w:p w14:paraId="0AFC57AF">
      <w:pPr>
        <w:numPr>
          <w:ilvl w:val="0"/>
          <w:numId w:val="1"/>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情境导入</w:t>
      </w:r>
    </w:p>
    <w:p w14:paraId="0A8AC618">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播放《第二十条》预告片混剪，突出检察官韩明（雷佳音饰）的形象。</w:t>
      </w:r>
    </w:p>
    <w:p w14:paraId="468FF897">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 呈现AI生成的“韩明”致辞视频/音频：“各位同学，我是检察官韩明。我刚调到市检察院，专门负责未成年人案件。现在我面临几个棘手案子，急需一批有正义感、懂法律的‘少年检察官’协助我。你们愿意加入我的团队，一起守护青春，向侵害说‘不’吗？”</w:t>
      </w:r>
    </w:p>
    <w:p w14:paraId="3D17A84B">
      <w:pPr>
        <w:numPr>
          <w:ilvl w:val="0"/>
          <w:numId w:val="0"/>
        </w:numPr>
        <w:ind w:firstLine="480" w:firstLineChars="20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 出示本课任务：完成“少年检察官”考核，处理三个典型案件。</w:t>
      </w:r>
    </w:p>
    <w:p w14:paraId="34D39911">
      <w:pPr>
        <w:numPr>
          <w:ilvl w:val="0"/>
          <w:numId w:val="0"/>
        </w:numPr>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利用电影IP和AI技术创设真实、有趣、富有使命感的大情境，瞬间抓住学生注意力，激发学习兴趣和内在动机。</w:t>
      </w:r>
    </w:p>
    <w:p w14:paraId="61F9E929">
      <w:pPr>
        <w:numPr>
          <w:ilvl w:val="0"/>
          <w:numId w:val="0"/>
        </w:numPr>
        <w:jc w:val="both"/>
        <w:rPr>
          <w:rFonts w:hint="eastAsia" w:ascii="仿宋" w:hAnsi="仿宋" w:eastAsia="仿宋" w:cs="仿宋"/>
          <w:sz w:val="24"/>
          <w:szCs w:val="24"/>
          <w:lang w:val="en-US" w:eastAsia="zh-CN"/>
        </w:rPr>
      </w:pPr>
    </w:p>
    <w:p w14:paraId="25801CF8">
      <w:pPr>
        <w:numPr>
          <w:ilvl w:val="0"/>
          <w:numId w:val="0"/>
        </w:numPr>
        <w:jc w:val="both"/>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二、</w:t>
      </w:r>
      <w:r>
        <w:rPr>
          <w:rFonts w:hint="default" w:ascii="黑体" w:hAnsi="黑体" w:eastAsia="黑体" w:cs="黑体"/>
          <w:b/>
          <w:bCs/>
          <w:sz w:val="24"/>
          <w:szCs w:val="24"/>
          <w:lang w:val="en-US" w:eastAsia="zh-CN"/>
        </w:rPr>
        <w:t>第一案：不良行为的边界</w:t>
      </w:r>
    </w:p>
    <w:p w14:paraId="636FEBF7">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1.发布案件一：“悔恨的泪水”案。引导学生阅读教材中的案例。</w:t>
      </w:r>
    </w:p>
    <w:p w14:paraId="6B878245">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2.提问引导：“少年检察官们，请分析：</w:t>
      </w:r>
    </w:p>
    <w:p w14:paraId="3E21A3B5">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-案例中的男孩有哪些‘不良行为’？</w:t>
      </w:r>
    </w:p>
    <w:p w14:paraId="00593D87">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-这些行为可能受到哪些处理？（校规/法律）</w:t>
      </w:r>
    </w:p>
    <w:p w14:paraId="2EB7158D">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-这滴‘悔恨的泪水’告诉我们什么道理？”</w:t>
      </w:r>
    </w:p>
    <w:p w14:paraId="79E6C8CB">
      <w:pPr>
        <w:numPr>
          <w:ilvl w:val="0"/>
          <w:numId w:val="0"/>
        </w:numPr>
        <w:jc w:val="both"/>
        <w:rPr>
          <w:rFonts w:hint="default" w:ascii="黑体" w:hAnsi="黑体" w:eastAsia="黑体" w:cs="黑体"/>
          <w:b/>
          <w:bCs/>
          <w:sz w:val="24"/>
          <w:szCs w:val="24"/>
          <w:lang w:val="en-US" w:eastAsia="zh-CN"/>
        </w:rPr>
      </w:pPr>
      <w:r>
        <w:rPr>
          <w:rFonts w:hint="eastAsia" w:ascii="仿宋" w:hAnsi="仿宋" w:eastAsia="仿宋" w:cs="仿宋"/>
          <w:sz w:val="24"/>
          <w:szCs w:val="24"/>
          <w:lang w:val="en-US" w:eastAsia="zh-CN"/>
        </w:rPr>
        <w:t>3.总结升华：法律不仅是保护伞，也是高压线。小恶不纠，必酿大祸。出示名言：“勿以恶小而为之”。</w:t>
      </w:r>
    </w:p>
    <w:p w14:paraId="4CF7023A">
      <w:pPr>
        <w:numPr>
          <w:ilvl w:val="0"/>
          <w:numId w:val="0"/>
        </w:numPr>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从法律惩戒性入手，通过案例分析让学生明白行为的边界和后果，树立“守法”的第一层意识：管住自己，不越红线。</w:t>
      </w:r>
    </w:p>
    <w:p w14:paraId="3D879577">
      <w:pPr>
        <w:numPr>
          <w:ilvl w:val="0"/>
          <w:numId w:val="0"/>
        </w:numPr>
        <w:jc w:val="both"/>
        <w:rPr>
          <w:rFonts w:hint="eastAsia" w:ascii="仿宋" w:hAnsi="仿宋" w:eastAsia="仿宋" w:cs="仿宋"/>
          <w:sz w:val="24"/>
          <w:szCs w:val="24"/>
          <w:lang w:val="en-US" w:eastAsia="zh-CN"/>
        </w:rPr>
      </w:pPr>
    </w:p>
    <w:p w14:paraId="683F5598">
      <w:pPr>
        <w:numPr>
          <w:ilvl w:val="0"/>
          <w:numId w:val="0"/>
        </w:numPr>
        <w:ind w:leftChars="0"/>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三、第二案：向校园欺凌亮剑</w:t>
      </w:r>
    </w:p>
    <w:p w14:paraId="30F4C22C">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发布案件二</w:t>
      </w:r>
    </w:p>
    <w:p w14:paraId="7744931C">
      <w:pPr>
        <w:numPr>
          <w:ilvl w:val="0"/>
          <w:numId w:val="0"/>
        </w:numPr>
        <w:ind w:firstLine="482" w:firstLineChars="200"/>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（一）观影引思</w:t>
      </w:r>
    </w:p>
    <w:p w14:paraId="379CCEE5">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1.播放</w:t>
      </w:r>
      <w:r>
        <w:rPr>
          <w:rFonts w:hint="eastAsia" w:ascii="仿宋" w:hAnsi="仿宋" w:eastAsia="仿宋" w:cs="仿宋"/>
          <w:sz w:val="24"/>
          <w:szCs w:val="24"/>
          <w:lang w:val="en-US" w:eastAsia="zh-CN"/>
        </w:rPr>
        <w:t>电影</w:t>
      </w:r>
      <w:r>
        <w:rPr>
          <w:rFonts w:hint="default" w:ascii="仿宋" w:hAnsi="仿宋" w:eastAsia="仿宋" w:cs="仿宋"/>
          <w:sz w:val="24"/>
          <w:szCs w:val="24"/>
          <w:lang w:val="en-US" w:eastAsia="zh-CN"/>
        </w:rPr>
        <w:t>核心片段：精心剪辑并播放《第二十条》中关键情节：</w:t>
      </w:r>
    </w:p>
    <w:p w14:paraId="767A81FF">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-片段A：张科等人在厕所欺凌低年级同学（凸显欺凌的暴力性与隐蔽性）。</w:t>
      </w:r>
    </w:p>
    <w:p w14:paraId="1C25D3F0">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-片段B：韩雨辰挺身而出制止，与张科发生冲突。</w:t>
      </w:r>
    </w:p>
    <w:p w14:paraId="69F5F813">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-片段C：张科恶人先告状，诬陷韩雨辰打人，韩雨辰百口莫辩（凸显欺凌的复杂性与反咬一口的特点）。</w:t>
      </w:r>
    </w:p>
    <w:p w14:paraId="61F64E96">
      <w:pPr>
        <w:numPr>
          <w:ilvl w:val="0"/>
          <w:numId w:val="2"/>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抛出核心问题：“少年检察官们，这就是我们接手的第一个大案。请你们判断：谁才是真正的受害者？谁在施行欺凌？韩雨辰的做法对吗？”</w:t>
      </w:r>
    </w:p>
    <w:p w14:paraId="57EB8912">
      <w:pPr>
        <w:numPr>
          <w:ilvl w:val="0"/>
          <w:numId w:val="0"/>
        </w:numPr>
        <w:jc w:val="left"/>
        <w:rPr>
          <w:rFonts w:hint="default" w:ascii="仿宋" w:hAnsi="仿宋" w:eastAsia="仿宋" w:cs="仿宋"/>
          <w:sz w:val="24"/>
          <w:szCs w:val="24"/>
          <w:lang w:val="en-US" w:eastAsia="zh-CN"/>
        </w:rPr>
      </w:pPr>
    </w:p>
    <w:p w14:paraId="70A13516">
      <w:pPr>
        <w:numPr>
          <w:ilvl w:val="0"/>
          <w:numId w:val="0"/>
        </w:numPr>
        <w:ind w:firstLine="482" w:firstLineChars="200"/>
        <w:jc w:val="left"/>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（二）</w:t>
      </w:r>
      <w:r>
        <w:rPr>
          <w:rFonts w:hint="default" w:ascii="楷体" w:hAnsi="楷体" w:eastAsia="楷体" w:cs="楷体"/>
          <w:b/>
          <w:bCs/>
          <w:sz w:val="24"/>
          <w:szCs w:val="24"/>
          <w:lang w:val="en-US" w:eastAsia="zh-CN"/>
        </w:rPr>
        <w:t>辨析探究</w:t>
      </w:r>
    </w:p>
    <w:p w14:paraId="39A32B6F">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1.链接课本，厘清概念：</w:t>
      </w:r>
    </w:p>
    <w:p w14:paraId="4869380D">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-“同学们，根据教材P83的定义，张科的行为属于典型的校园欺凌（身体欺凌、关系欺凌）。而韩雨辰的行为，其初衷是制止不法侵害，这涉及到‘正当防卫’的精神。”（简要解释正当防卫的概念，不必过深）</w:t>
      </w:r>
    </w:p>
    <w:p w14:paraId="293B092D">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-出示课本P83案例：“再看教材中的这个案例，里面的行为和电影里的有何相似之处？”（引导学生发现共性：重复性、恶意、力量不均衡）</w:t>
      </w:r>
    </w:p>
    <w:p w14:paraId="13CB7586">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2.组织深度讨论：</w:t>
      </w:r>
    </w:p>
    <w:p w14:paraId="37A71705">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-“为什么被厕所欺凌的同学不敢站出来说话？”（引导分析恐惧、羞耻、害怕报复等心理，链接课本中“沉默的呐喊”）</w:t>
      </w:r>
    </w:p>
    <w:p w14:paraId="54A6498C">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-“如果你是那位被欺凌的同学，在韩雨辰帮助你之后，你可以怎么做来打破沉默？”（引导学生思考如何智慧地寻求帮助和保留证据）</w:t>
      </w:r>
    </w:p>
    <w:p w14:paraId="2E1DC830">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-“韩雨辰的勇气可嘉，但有没有更安全、更有效的方法来帮助他人并保护自己？”（如：立即大声呼救引起注意、第一时间报告老师或保安、记住对方特征等）</w:t>
      </w:r>
    </w:p>
    <w:p w14:paraId="37C63D10">
      <w:pPr>
        <w:numPr>
          <w:ilvl w:val="0"/>
          <w:numId w:val="3"/>
        </w:numPr>
        <w:ind w:firstLine="482" w:firstLineChars="200"/>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听证模拟</w:t>
      </w:r>
    </w:p>
    <w:p w14:paraId="1213AFE0">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1.创设情境：“现在，我们成立一个‘校园欺凌事件听证会’。请各组选择扮演以下角色：韩雨辰及其辩护人、被欺凌同学及其监护人、学校调查组、检察官（韩明助理）。”</w:t>
      </w:r>
    </w:p>
    <w:p w14:paraId="5AD6BECC">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2.发布任务：请各方从自己的角色出发，陈述事实，表明观点：</w:t>
      </w:r>
    </w:p>
    <w:p w14:paraId="1775D1C9">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-韩雨辰方：陈述初衷，证明自己是见义勇为。</w:t>
      </w:r>
    </w:p>
    <w:p w14:paraId="4FC19B48">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-被欺凌方：说出真相，指认欺凌行为。</w:t>
      </w:r>
    </w:p>
    <w:p w14:paraId="7947C1D0">
      <w:pPr>
        <w:numPr>
          <w:ilvl w:val="0"/>
          <w:numId w:val="0"/>
        </w:numPr>
        <w:ind w:firstLine="480" w:firstLineChars="200"/>
        <w:jc w:val="left"/>
        <w:rPr>
          <w:rFonts w:hint="eastAsia" w:ascii="楷体" w:hAnsi="楷体" w:eastAsia="楷体" w:cs="楷体"/>
          <w:b/>
          <w:bCs/>
          <w:sz w:val="24"/>
          <w:szCs w:val="24"/>
          <w:lang w:val="en-US" w:eastAsia="zh-CN"/>
        </w:rPr>
      </w:pPr>
      <w:r>
        <w:rPr>
          <w:rFonts w:hint="default" w:ascii="仿宋" w:hAnsi="仿宋" w:eastAsia="仿宋" w:cs="仿宋"/>
          <w:sz w:val="24"/>
          <w:szCs w:val="24"/>
          <w:lang w:val="en-US" w:eastAsia="zh-CN"/>
        </w:rPr>
        <w:t>-调查组/检察官：听取多方陈述，依据法律和校规，尝试做出公正的判断和处理建议。</w:t>
      </w:r>
    </w:p>
    <w:p w14:paraId="396ED195">
      <w:pPr>
        <w:numPr>
          <w:ilvl w:val="0"/>
          <w:numId w:val="0"/>
        </w:numPr>
        <w:ind w:firstLine="482" w:firstLineChars="200"/>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（四）策略总结</w:t>
      </w:r>
    </w:p>
    <w:p w14:paraId="751C2AC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1.授予“检察官行动指南”：根据讨论和模拟结果，总结应对欺凌的“三要三不”原则：</w:t>
      </w:r>
    </w:p>
    <w:p w14:paraId="75EBE021">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-要勇敢：不忍气吞声，内心坚信“法不能向不法让步”。</w:t>
      </w:r>
    </w:p>
    <w:p w14:paraId="453D5F94">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-要机智：学会自我保护，避免正面冲突，呼救、报告、取证。</w:t>
      </w:r>
    </w:p>
    <w:p w14:paraId="6BB69580">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-要团结：不做冷漠的看客，给予受害者支持，共同向欺凌说“不”。</w:t>
      </w:r>
    </w:p>
    <w:p w14:paraId="472EECA1">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-不害怕：相信法律、老师和家长是坚强的后盾。</w:t>
      </w:r>
    </w:p>
    <w:p w14:paraId="0DA2D959">
      <w:pPr>
        <w:numPr>
          <w:ilvl w:val="0"/>
          <w:numId w:val="0"/>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-不隐瞒：遭受欺凌后，第一时间告诉信任的成年人。</w:t>
      </w:r>
    </w:p>
    <w:p w14:paraId="275016AB">
      <w:pPr>
        <w:numPr>
          <w:ilvl w:val="0"/>
          <w:numId w:val="0"/>
        </w:numPr>
        <w:ind w:leftChars="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-不参与：坚决不做欺凌者，也不起哄附和。</w:t>
      </w:r>
    </w:p>
    <w:p w14:paraId="1135C7FA">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w:t>
      </w:r>
    </w:p>
    <w:p w14:paraId="53DE80CB">
      <w:pPr>
        <w:numPr>
          <w:ilvl w:val="0"/>
          <w:numId w:val="0"/>
        </w:numPr>
        <w:jc w:val="left"/>
        <w:rPr>
          <w:rFonts w:hint="default" w:ascii="仿宋" w:hAnsi="仿宋" w:eastAsia="仿宋" w:cs="仿宋"/>
          <w:sz w:val="24"/>
          <w:szCs w:val="24"/>
          <w:lang w:val="en-US" w:eastAsia="zh-CN"/>
        </w:rPr>
      </w:pPr>
      <w:r>
        <w:rPr>
          <w:rFonts w:hint="eastAsia" w:ascii="楷体" w:hAnsi="楷体" w:eastAsia="楷体" w:cs="楷体"/>
          <w:b/>
          <w:bCs/>
          <w:sz w:val="24"/>
          <w:szCs w:val="24"/>
          <w:lang w:val="en-US" w:eastAsia="zh-CN"/>
        </w:rPr>
        <w:t>（一）观影引思</w:t>
      </w:r>
    </w:p>
    <w:p w14:paraId="224EC12B">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深度融合点：直接用最具冲击力的电影原片创设真实、复杂、富有争议的情境。相比课本的文字案例，影视画面更能激发学生的共情和正义感，瞬间将学生带入“检察官”的角色，为后续探究做好铺垫。</w:t>
      </w:r>
    </w:p>
    <w:p w14:paraId="1DAAD304">
      <w:pPr>
        <w:numPr>
          <w:ilvl w:val="0"/>
          <w:numId w:val="0"/>
        </w:numPr>
        <w:jc w:val="left"/>
        <w:rPr>
          <w:rFonts w:hint="default" w:ascii="仿宋" w:hAnsi="仿宋" w:eastAsia="仿宋" w:cs="仿宋"/>
          <w:sz w:val="24"/>
          <w:szCs w:val="24"/>
          <w:lang w:val="en-US" w:eastAsia="zh-CN"/>
        </w:rPr>
      </w:pPr>
      <w:r>
        <w:rPr>
          <w:rFonts w:hint="eastAsia" w:ascii="楷体" w:hAnsi="楷体" w:eastAsia="楷体" w:cs="楷体"/>
          <w:b/>
          <w:bCs/>
          <w:sz w:val="24"/>
          <w:szCs w:val="24"/>
          <w:lang w:val="en-US" w:eastAsia="zh-CN"/>
        </w:rPr>
        <w:t>（二）</w:t>
      </w:r>
      <w:r>
        <w:rPr>
          <w:rFonts w:hint="default" w:ascii="楷体" w:hAnsi="楷体" w:eastAsia="楷体" w:cs="楷体"/>
          <w:b/>
          <w:bCs/>
          <w:sz w:val="24"/>
          <w:szCs w:val="24"/>
          <w:lang w:val="en-US" w:eastAsia="zh-CN"/>
        </w:rPr>
        <w:t>辨析探究</w:t>
      </w:r>
    </w:p>
    <w:p w14:paraId="4CBECA8C">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深度融合点：此步骤是电影与课本的黄金结合点。用电影案例的“血肉”去丰满课本概念的“骨架”，用课本知识的“尺度”去衡量电影故事的“是非”。让学生明白，法律不仅存在于课本，更存在于鲜活的生活中。讨论题设计层层递进，既肯定勇敢，又强调智慧，提供可操作的行动指南。</w:t>
      </w:r>
    </w:p>
    <w:p w14:paraId="24EF5285">
      <w:pPr>
        <w:numPr>
          <w:ilvl w:val="0"/>
          <w:numId w:val="0"/>
        </w:numPr>
        <w:jc w:val="left"/>
        <w:rPr>
          <w:rFonts w:hint="default" w:ascii="仿宋" w:hAnsi="仿宋" w:eastAsia="仿宋" w:cs="仿宋"/>
          <w:sz w:val="24"/>
          <w:szCs w:val="24"/>
          <w:lang w:val="en-US" w:eastAsia="zh-CN"/>
        </w:rPr>
      </w:pPr>
      <w:r>
        <w:rPr>
          <w:rFonts w:hint="eastAsia" w:ascii="楷体" w:hAnsi="楷体" w:eastAsia="楷体" w:cs="楷体"/>
          <w:b/>
          <w:bCs/>
          <w:sz w:val="24"/>
          <w:szCs w:val="24"/>
          <w:lang w:val="en-US" w:eastAsia="zh-CN"/>
        </w:rPr>
        <w:t>（三）听证模拟</w:t>
      </w:r>
    </w:p>
    <w:p w14:paraId="4E3DCA37">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深度融合点：将电影中的听证会高潮环节“搬”进课堂。这是最高层次的融合——形式与内容的统一。通过角色扮演，让学生亲身体验司法程序的严谨和寻求真相的不易，深刻理解“公平正义”需要每一个人的努力和发声，完美呼应《第二十条》“法不能向不法让步”的核心精神。</w:t>
      </w:r>
    </w:p>
    <w:p w14:paraId="0280EB32">
      <w:pPr>
        <w:numPr>
          <w:ilvl w:val="0"/>
          <w:numId w:val="0"/>
        </w:numPr>
        <w:jc w:val="left"/>
        <w:rPr>
          <w:rFonts w:hint="default" w:ascii="仿宋" w:hAnsi="仿宋" w:eastAsia="仿宋" w:cs="仿宋"/>
          <w:sz w:val="24"/>
          <w:szCs w:val="24"/>
          <w:lang w:val="en-US" w:eastAsia="zh-CN"/>
        </w:rPr>
      </w:pPr>
      <w:r>
        <w:rPr>
          <w:rFonts w:hint="eastAsia" w:ascii="楷体" w:hAnsi="楷体" w:eastAsia="楷体" w:cs="楷体"/>
          <w:b/>
          <w:bCs/>
          <w:sz w:val="24"/>
          <w:szCs w:val="24"/>
          <w:lang w:val="en-US" w:eastAsia="zh-CN"/>
        </w:rPr>
        <w:t>（四）策略总结</w:t>
      </w:r>
    </w:p>
    <w:p w14:paraId="620C9C56">
      <w:pPr>
        <w:numPr>
          <w:ilvl w:val="0"/>
          <w:numId w:val="0"/>
        </w:numPr>
        <w:ind w:leftChars="0"/>
        <w:jc w:val="both"/>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将探究成果转化为清晰、好记、易操作的行动准则。点睛之笔是再次引用电影核心台词“法不能向不法让步”，将其从抽象的法律理念转化为学生可践行的行为信念和勇气来源，完成情感态度价值观的升华。</w:t>
      </w:r>
    </w:p>
    <w:p w14:paraId="13BFF3CE">
      <w:pPr>
        <w:numPr>
          <w:ilvl w:val="0"/>
          <w:numId w:val="0"/>
        </w:numPr>
        <w:ind w:leftChars="0"/>
        <w:jc w:val="both"/>
        <w:rPr>
          <w:rFonts w:hint="eastAsia" w:ascii="仿宋" w:hAnsi="仿宋" w:eastAsia="仿宋" w:cs="仿宋"/>
          <w:sz w:val="24"/>
          <w:szCs w:val="24"/>
          <w:lang w:val="en-US" w:eastAsia="zh-CN"/>
        </w:rPr>
      </w:pPr>
    </w:p>
    <w:p w14:paraId="531EC1BB">
      <w:pPr>
        <w:numPr>
          <w:ilvl w:val="0"/>
          <w:numId w:val="0"/>
        </w:numPr>
        <w:ind w:leftChars="0"/>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四、第三案：守护身体的秘密</w:t>
      </w:r>
    </w:p>
    <w:p w14:paraId="60D5BDD7">
      <w:pPr>
        <w:numPr>
          <w:ilvl w:val="0"/>
          <w:numId w:val="4"/>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发布案件三：“‘界限’的守护”身体侵害案。</w:t>
      </w:r>
    </w:p>
    <w:p w14:paraId="1C134DA8">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2.引导辨析：呈现教材两个情境（</w:t>
      </w:r>
      <w:r>
        <w:rPr>
          <w:rFonts w:hint="eastAsia" w:ascii="仿宋" w:hAnsi="仿宋" w:eastAsia="仿宋" w:cs="仿宋"/>
          <w:sz w:val="24"/>
          <w:szCs w:val="24"/>
          <w:lang w:val="en-US" w:eastAsia="zh-CN"/>
        </w:rPr>
        <w:t>好朋友回来</w:t>
      </w:r>
      <w:r>
        <w:rPr>
          <w:rFonts w:hint="default" w:ascii="仿宋" w:hAnsi="仿宋" w:eastAsia="仿宋" w:cs="仿宋"/>
          <w:sz w:val="24"/>
          <w:szCs w:val="24"/>
          <w:lang w:val="en-US" w:eastAsia="zh-CN"/>
        </w:rPr>
        <w:t xml:space="preserve"> vs </w:t>
      </w:r>
      <w:r>
        <w:rPr>
          <w:rFonts w:hint="eastAsia" w:ascii="仿宋" w:hAnsi="仿宋" w:eastAsia="仿宋" w:cs="仿宋"/>
          <w:sz w:val="24"/>
          <w:szCs w:val="24"/>
          <w:lang w:val="en-US" w:eastAsia="zh-CN"/>
        </w:rPr>
        <w:t>邻居张某</w:t>
      </w:r>
      <w:r>
        <w:rPr>
          <w:rFonts w:hint="default" w:ascii="仿宋" w:hAnsi="仿宋" w:eastAsia="仿宋" w:cs="仿宋"/>
          <w:sz w:val="24"/>
          <w:szCs w:val="24"/>
          <w:lang w:val="en-US" w:eastAsia="zh-CN"/>
        </w:rPr>
        <w:t>）。“少年检察官们，请判断哪些是安全接触，哪些是不当接触？”</w:t>
      </w:r>
    </w:p>
    <w:p w14:paraId="015CF848">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3.知识窗学习：引导学生阅读“知识窗”，强调“性侵害是严重犯罪”，法律必将严惩。</w:t>
      </w:r>
    </w:p>
    <w:p w14:paraId="5AD2E076">
      <w:pPr>
        <w:numPr>
          <w:ilvl w:val="0"/>
          <w:numId w:val="0"/>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4.赋能行动：教授“NOT”原则：No（大声说不）→ Off（立即离开）→ Talk（告诉你信任的大人）。</w:t>
      </w:r>
    </w:p>
    <w:p w14:paraId="3DB8CB37">
      <w:pPr>
        <w:numPr>
          <w:ilvl w:val="0"/>
          <w:numId w:val="0"/>
        </w:numPr>
        <w:ind w:leftChars="0"/>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用科学、正面、坚定的态度讲解敏感话题。深度融合点：将身体保护的重要性提升到与电影捍卫“公平正义”相同的高度，强调法律对公民基本权利（包括身体权、人格尊严）的坚强保障，而不仅仅是孤立的知识点，使课堂内涵更加深刻。</w:t>
      </w:r>
    </w:p>
    <w:p w14:paraId="376FCB56">
      <w:pPr>
        <w:numPr>
          <w:ilvl w:val="0"/>
          <w:numId w:val="0"/>
        </w:numPr>
        <w:ind w:leftChars="0"/>
        <w:jc w:val="both"/>
        <w:rPr>
          <w:rFonts w:hint="default" w:ascii="仿宋" w:hAnsi="仿宋" w:eastAsia="仿宋" w:cs="仿宋"/>
          <w:sz w:val="24"/>
          <w:szCs w:val="24"/>
          <w:lang w:val="en-US" w:eastAsia="zh-CN"/>
        </w:rPr>
      </w:pPr>
    </w:p>
    <w:p w14:paraId="6AD9A661">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五、总结升华</w:t>
      </w:r>
    </w:p>
    <w:p w14:paraId="3DF8F777">
      <w:pPr>
        <w:numPr>
          <w:ilvl w:val="0"/>
          <w:numId w:val="5"/>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融入领袖嘱托：出示习近平总书记对青少年健康成长的关怀寄语，升华课堂主题。</w:t>
      </w:r>
    </w:p>
    <w:p w14:paraId="1604CAF9">
      <w:pPr>
        <w:numPr>
          <w:ilvl w:val="0"/>
          <w:numId w:val="5"/>
        </w:numPr>
        <w:ind w:firstLine="480" w:firstLineChars="200"/>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回顾总结：AI韩明再次出现：“恭喜各位‘少年检察官’成功结业！通过今天的案件分析，我们更加深刻地理解了：法律有尺度，守法是底线；校园零欺凌，勇敢要说不；身体有界限，守护我自己。 更重要的是，我们明白了‘法不能向不法让步’的真正含义！”</w:t>
      </w:r>
    </w:p>
    <w:p w14:paraId="622D4945">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w:t>
      </w:r>
    </w:p>
    <w:p w14:paraId="0E60088B">
      <w:pPr>
        <w:numPr>
          <w:ilvl w:val="0"/>
          <w:numId w:val="0"/>
        </w:numPr>
        <w:ind w:firstLine="480" w:firstLineChars="20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引用总书记讲话，将课堂与国家、社会大课堂连接，提升格局。宣誓仪式将情感推向高潮，固化学习成果，内化为信念。</w:t>
      </w:r>
    </w:p>
    <w:p w14:paraId="650C82B3">
      <w:pPr>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通过AI情境首尾呼应，梳理知识体系，并点睛强调电影核心精神“法不能向不法让步”。</w:t>
      </w:r>
    </w:p>
    <w:p w14:paraId="4EDF4C66">
      <w:pPr>
        <w:numPr>
          <w:ilvl w:val="0"/>
          <w:numId w:val="0"/>
        </w:numPr>
        <w:jc w:val="both"/>
        <w:rPr>
          <w:rFonts w:hint="default" w:ascii="黑体" w:hAnsi="黑体" w:eastAsia="黑体" w:cs="黑体"/>
          <w:b/>
          <w:bCs/>
          <w:sz w:val="24"/>
          <w:szCs w:val="24"/>
          <w:lang w:val="en-US" w:eastAsia="zh-CN"/>
        </w:rPr>
      </w:pPr>
    </w:p>
    <w:p w14:paraId="335D5705">
      <w:pPr>
        <w:numPr>
          <w:ilvl w:val="0"/>
          <w:numId w:val="6"/>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作业布置</w:t>
      </w:r>
    </w:p>
    <w:p w14:paraId="1767C104">
      <w:pPr>
        <w:numPr>
          <w:ilvl w:val="0"/>
          <w:numId w:val="7"/>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（创意类）为你所在的班级或小组设计一条“反校园欺凌”或“自我保护”的宣传口号或漫画。</w:t>
      </w:r>
    </w:p>
    <w:p w14:paraId="750DF2EF">
      <w:pPr>
        <w:numPr>
          <w:ilvl w:val="0"/>
          <w:numId w:val="0"/>
        </w:numPr>
        <w:ind w:firstLine="480" w:firstLineChars="200"/>
        <w:jc w:val="left"/>
        <w:rPr>
          <w:rFonts w:hint="default" w:ascii="黑体" w:hAnsi="黑体" w:eastAsia="黑体" w:cs="黑体"/>
          <w:b/>
          <w:bCs/>
          <w:sz w:val="24"/>
          <w:szCs w:val="24"/>
          <w:lang w:val="en-US" w:eastAsia="zh-CN"/>
        </w:rPr>
      </w:pPr>
      <w:r>
        <w:rPr>
          <w:rFonts w:hint="eastAsia" w:ascii="仿宋" w:hAnsi="仿宋" w:eastAsia="仿宋" w:cs="仿宋"/>
          <w:sz w:val="24"/>
          <w:szCs w:val="24"/>
          <w:lang w:val="en-US" w:eastAsia="zh-CN"/>
        </w:rPr>
        <w:t>2.（实践类）与父母一起进行一次“家庭安全会谈”，把你今天学到的“NOT”原则和应对欺凌的方法教给他们，并和他们讨论一旦遇到问题，可以如何向他们求助。</w:t>
      </w:r>
    </w:p>
    <w:p w14:paraId="6BFD1B09">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七、板书设计</w:t>
      </w:r>
    </w:p>
    <w:p w14:paraId="38314D7E">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1479550" cy="1791335"/>
            <wp:effectExtent l="0" t="0" r="19050" b="12065"/>
            <wp:docPr id="2" name="图片 2" descr="ccc3b69c4f3ba54ad773c83bb3ce0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c3b69c4f3ba54ad773c83bb3ce0ce0"/>
                    <pic:cNvPicPr>
                      <a:picLocks noChangeAspect="1"/>
                    </pic:cNvPicPr>
                  </pic:nvPicPr>
                  <pic:blipFill>
                    <a:blip r:embed="rId6"/>
                    <a:stretch>
                      <a:fillRect/>
                    </a:stretch>
                  </pic:blipFill>
                  <pic:spPr>
                    <a:xfrm>
                      <a:off x="0" y="0"/>
                      <a:ext cx="1479550" cy="1791335"/>
                    </a:xfrm>
                    <a:prstGeom prst="rect">
                      <a:avLst/>
                    </a:prstGeom>
                  </pic:spPr>
                </pic:pic>
              </a:graphicData>
            </a:graphic>
          </wp:inline>
        </w:drawing>
      </w:r>
    </w:p>
    <w:p w14:paraId="1AE991A4">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b/>
          <w:bCs/>
          <w:sz w:val="24"/>
          <w:szCs w:val="24"/>
          <w:lang w:val="en-US" w:eastAsia="zh-CN"/>
        </w:rPr>
      </w:pPr>
    </w:p>
    <w:p w14:paraId="5DA95C40">
      <w:pPr>
        <w:jc w:val="left"/>
        <w:rPr>
          <w:rFonts w:hint="eastAsia" w:ascii="宋体" w:hAnsi="宋体" w:eastAsia="宋体" w:cs="宋体"/>
          <w:b/>
          <w:bCs/>
          <w:sz w:val="28"/>
          <w:szCs w:val="28"/>
          <w:vertAlign w:val="baseline"/>
          <w:lang w:val="en-US" w:eastAsia="zh-CN"/>
        </w:rPr>
      </w:pPr>
    </w:p>
    <w:p w14:paraId="1745A33C">
      <w:pPr>
        <w:jc w:val="left"/>
        <w:rPr>
          <w:rFonts w:hint="eastAsia" w:ascii="宋体" w:hAnsi="宋体" w:eastAsia="宋体" w:cs="宋体"/>
          <w:b/>
          <w:bCs/>
          <w:sz w:val="28"/>
          <w:szCs w:val="28"/>
          <w:vertAlign w:val="baseline"/>
          <w:lang w:val="en-US" w:eastAsia="zh-CN"/>
        </w:rPr>
      </w:pPr>
    </w:p>
    <w:p w14:paraId="23FF2EB5">
      <w:pPr>
        <w:jc w:val="left"/>
        <w:rPr>
          <w:rFonts w:hint="eastAsia" w:ascii="宋体" w:hAnsi="宋体" w:eastAsia="宋体" w:cs="宋体"/>
          <w:b/>
          <w:bCs/>
          <w:sz w:val="28"/>
          <w:szCs w:val="28"/>
          <w:vertAlign w:val="baseline"/>
          <w:lang w:val="en-US" w:eastAsia="zh-CN"/>
        </w:rPr>
      </w:pPr>
    </w:p>
    <w:p w14:paraId="6B66B737">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飞龙实验小学 李叶男《依法维权有途径》</w:t>
      </w:r>
    </w:p>
    <w:p w14:paraId="61B08A6C">
      <w:pPr>
        <w:keepNext w:val="0"/>
        <w:keepLines w:val="0"/>
        <w:pageBreakBefore w:val="0"/>
        <w:widowControl w:val="0"/>
        <w:kinsoku/>
        <w:wordWrap/>
        <w:overflowPunct/>
        <w:topLinePunct w:val="0"/>
        <w:autoSpaceDE/>
        <w:autoSpaceDN/>
        <w:bidi w:val="0"/>
        <w:adjustRightInd/>
        <w:snapToGrid/>
        <w:spacing w:line="240" w:lineRule="atLeast"/>
        <w:ind w:firstLine="361" w:firstLineChars="200"/>
        <w:textAlignment w:val="auto"/>
        <w:rPr>
          <w:rFonts w:hint="eastAsia" w:ascii="宋体" w:hAnsi="宋体" w:eastAsia="宋体" w:cs="宋体"/>
          <w:b/>
          <w:bCs/>
          <w:sz w:val="18"/>
          <w:szCs w:val="18"/>
          <w:lang w:val="en-US" w:eastAsia="zh-CN"/>
        </w:rPr>
      </w:pPr>
    </w:p>
    <w:p w14:paraId="5FF91F53">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谈话导入，引出内容</w:t>
      </w:r>
    </w:p>
    <w:p w14:paraId="64F4BC87">
      <w:pPr>
        <w:numPr>
          <w:ilvl w:val="0"/>
          <w:numId w:val="5"/>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同学们，经过前面的学习，我们已经了解法律在保护着我们未成年人的健康成长，当我们的权益受到侵害时，我们要拿起法律武器，维护我们的权益。今天就让我们一起学习“知法守法 依法维权”（板书）这一课。</w:t>
      </w:r>
    </w:p>
    <w:p w14:paraId="6FD7C9A7">
      <w:pPr>
        <w:numPr>
          <w:ilvl w:val="0"/>
          <w:numId w:val="5"/>
        </w:numPr>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这是六年级学生小方的日记，我们一起走进他的维权日记，看看小方遇到了什么麻烦，一起帮助他解决他的烦恼吧！</w:t>
      </w:r>
    </w:p>
    <w:p w14:paraId="09AD7062">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活动</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日记开篇学自保</w:t>
      </w:r>
    </w:p>
    <w:p w14:paraId="719C4FD0">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出示“小方的维权日记”第一页：“今天放学，我独自走在回家的偏僻胡同里，突然窜出三个高年级男生，拦住我要零花钱，还说不给就揍我！我吓得浑身发抖，该怎么办啊？”</w:t>
      </w:r>
    </w:p>
    <w:p w14:paraId="221EBB50">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 思辨一：“如果你是小方，当下最该做的是什么？”</w:t>
      </w:r>
    </w:p>
    <w:p w14:paraId="4D8CC9B7">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预设：自我保护小贴士1：服软、交零花钱、呼救、逃跑、报警、迂回战术……（板书：自我保护）</w:t>
      </w:r>
    </w:p>
    <w:p w14:paraId="15522988">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师：是的，同学们的第一反应就是自我保护，这是非常正确的。</w:t>
      </w:r>
    </w:p>
    <w:p w14:paraId="538CF74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追问：如果这几个高年级男生行为非常恶劣，非要揍你一顿怎么办？我们还能怎么保护自己呢？</w:t>
      </w:r>
    </w:p>
    <w:p w14:paraId="4955C16D">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预设：抱头抱胸，保护身体脆弱的部分。</w:t>
      </w:r>
    </w:p>
    <w:p w14:paraId="644E9120">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师：是的，实在没办法的情况，第一时间我们要保护自己的身体，生命安全是最重要的。</w:t>
      </w:r>
    </w:p>
    <w:p w14:paraId="7A86010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（2）引出自我保护小贴士2：圈身抱头护胸护脑。</w:t>
      </w:r>
    </w:p>
    <w:p w14:paraId="7BB67CB5">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（3）全班人一起做自我保护的动作。</w:t>
      </w:r>
    </w:p>
    <w:p w14:paraId="236B455E">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 教师小结：“遇到危险时，生命安全永远是第一位的，这是维权的前提。”我们千万不能硬碰硬，遇到紧急情况，我们要智勇双全去应对。</w:t>
      </w:r>
    </w:p>
    <w:p w14:paraId="5A89DACB">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b/>
          <w:bCs/>
          <w:sz w:val="24"/>
          <w:szCs w:val="24"/>
          <w:highlight w:val="none"/>
          <w:lang w:eastAsia="zh-CN"/>
        </w:rPr>
      </w:pPr>
    </w:p>
    <w:p w14:paraId="1E983D5F">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活动二：</w:t>
      </w:r>
      <w:r>
        <w:rPr>
          <w:rFonts w:hint="eastAsia" w:ascii="宋体" w:hAnsi="宋体" w:eastAsia="宋体" w:cs="宋体"/>
          <w:sz w:val="24"/>
          <w:szCs w:val="24"/>
          <w:highlight w:val="none"/>
        </w:rPr>
        <w:t>日记困惑找途径</w:t>
      </w:r>
    </w:p>
    <w:p w14:paraId="066AA4F1">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思辨二：维权途径有哪些？</w:t>
      </w:r>
    </w:p>
    <w:p w14:paraId="30E8569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1、小方也是这样做的，他怎么说的呢？“我向他们说了很多好话，还把零花钱给了他们，趁他们放松警惕的时候快速逃跑了。回到家，我心神不宁，感到后怕。”</w:t>
      </w:r>
    </w:p>
    <w:p w14:paraId="25453220">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2、问：同学们，小方为什么会心神不宁啊，他在想什么呢？</w:t>
      </w:r>
    </w:p>
    <w:p w14:paraId="5C8E14F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预设：那几个男生会不会来报复我，会不会可能还会欺负其他人......</w:t>
      </w:r>
    </w:p>
    <w:p w14:paraId="7D12B21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2.小组合作探究：</w:t>
      </w:r>
    </w:p>
    <w:p w14:paraId="75EAA812">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（1）小方该怎么办呢？他可以通过哪些人或部门维权？书上第90页有这样几个选择，我们同桌讨论一下，打打√（板书：寻找途径）</w:t>
      </w:r>
    </w:p>
    <w:p w14:paraId="59A99030">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小组内自由交流，教师随堂指导。</w:t>
      </w:r>
    </w:p>
    <w:p w14:paraId="378FC9A2">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小组代表汇报交流。</w:t>
      </w:r>
    </w:p>
    <w:p w14:paraId="71D9ED2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（如果学生一下全部说出来，可以提问，我们首先应该怎么做？）</w:t>
      </w:r>
    </w:p>
    <w:p w14:paraId="604886A4">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预设：首先向家人讲清楚，家长是我们的监护人，帮我们出主意。（板书：告知情况）</w:t>
      </w:r>
    </w:p>
    <w:p w14:paraId="0CADE8C9">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也可以向学校报告，学校可以向哪些人报告？（老师、班主任、德育处主任，校长...），可以一起寻找那些学生。</w:t>
      </w:r>
    </w:p>
    <w:p w14:paraId="1F6624FE">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3.如果这件事情校长说那几个人我也不认识呀，不是我们学校的，校长他也解决不了，我们怎么办呢？找谁去咨询一下呢？</w:t>
      </w:r>
    </w:p>
    <w:p w14:paraId="795132E9">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（1）找律师咨询（碰到这样的情况该怎么做）</w:t>
      </w:r>
    </w:p>
    <w:p w14:paraId="1CA05AFA">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除了找律师，还可以找谁问问情况？（村委会，居委会，都解决不了可以找法律援助中心，律师，妇联......）</w:t>
      </w:r>
    </w:p>
    <w:p w14:paraId="4AF970B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（2）这些都是我们的咨询的途径，我们要寻找这些途径来帮我们出出主意。（板书：咨询求助）</w:t>
      </w:r>
    </w:p>
    <w:p w14:paraId="5F5259C1">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4.通过咨询你找到那几个高年级男生，他们死皮赖脸，不承认自己犯了错误，那么怎么办呢？.咨询求助也不能解决问题的时候，该怎么办？</w:t>
      </w:r>
    </w:p>
    <w:p w14:paraId="7168B41E">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（1）我们还有什么武器？（法律武器）</w:t>
      </w:r>
    </w:p>
    <w:p w14:paraId="39802D05">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（2）法律武器可以找哪些部门？</w:t>
      </w:r>
    </w:p>
    <w:p w14:paraId="170A0CF5">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预设：派出所报告，法院起诉......老师也给大家补充几个。</w:t>
      </w:r>
    </w:p>
    <w:p w14:paraId="6ED209CC">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（3）引导学生了解法律援助的部门：（图片补充，派出所和公安局是同一个组织，派出所是公安局的派出机构）</w:t>
      </w:r>
    </w:p>
    <w:p w14:paraId="38A18F1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5.师：公安局为了更好的方便老百姓找到他们，他们想了很多办法，你知道吗？</w:t>
      </w:r>
    </w:p>
    <w:p w14:paraId="20F142C7">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（1）引导学生注意观察周围环境：    网格员（小区里）</w:t>
      </w:r>
    </w:p>
    <w:p w14:paraId="15A3C26F">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引导学生了解其他部门的专线电话：公布了电话：110（拓展其他电话，都可以维权）</w:t>
      </w:r>
    </w:p>
    <w:p w14:paraId="55FBCFD1">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师：所以当你遇到侵害时，不是走投无路，还可以进行法律援助，这些途径我们都可以很容易找到。</w:t>
      </w:r>
    </w:p>
    <w:p w14:paraId="6FE33337">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6.总结：因此，这次维权，  小方可以先向家长讲述述情况，并向老师和学校报告。如果老师和校长家长都解决不了，可以在他们的陪同下找律师或者法律援助助进行咨询。当对方态度还是强硬，还是不肯承认错误的话，那么我们可以向政府有关部门，法院提出请求要求维护权利惩治坏人。（结合90页打钩来总结）</w:t>
      </w:r>
    </w:p>
    <w:p w14:paraId="5A0DDB9B">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7.追问一：小方说这也太麻烦吗？我不高兴讲出去了，我很害怕，要不要这样做？</w:t>
      </w:r>
    </w:p>
    <w:p w14:paraId="1A085B78">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指名学生回答不解决的后果。（再次被欺负、心理阴影还会欺负其他人）</w:t>
      </w:r>
    </w:p>
    <w:p w14:paraId="79BADFD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作为一个社会公民，我们要伸张正义、惩治坏人。</w:t>
      </w:r>
    </w:p>
    <w:p w14:paraId="5344189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8.追问二：小方说我很气愤，我也有哥们，我也有好伙伴、好同学，我也去打他们一顿，能不能这样做？</w:t>
      </w:r>
    </w:p>
    <w:p w14:paraId="086F6C17">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（1）引导学生了解这样做的后果：以暴制暴，小方也违法了，本来是受害者。</w:t>
      </w:r>
    </w:p>
    <w:p w14:paraId="184B50F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（2）教师小结：所以当我们遇到侵权的时候，我们要寻找途径。</w:t>
      </w:r>
    </w:p>
    <w:p w14:paraId="1CB67983">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（3）教师引导学生了解各种途径的内容。（板书：告知相助、咨询求助、法律援助）结合书上思维导图。</w:t>
      </w:r>
    </w:p>
    <w:p w14:paraId="531CB00B">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活动三：如何收集证据</w:t>
      </w:r>
    </w:p>
    <w:p w14:paraId="4D8CF18A">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1.小组讨论交流：</w:t>
      </w:r>
    </w:p>
    <w:p w14:paraId="2B724A53">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播放音频：小方回家后把事情告诉了父母，他们决定立即向当地派出所报案，派出所也来调查了。出示“小方的维权日记”第五页：“民警叔叔问我，能不能提供那几个男生的特征、勒索的地点、给他们的零花钱面额等信息，还说这些都是证据，有助于办案”，小方，可以提供哪些证据呢？</w:t>
      </w:r>
    </w:p>
    <w:p w14:paraId="21FD5112">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（2）小组合作探究。</w:t>
      </w:r>
    </w:p>
    <w:p w14:paraId="207CCDD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预设：在书包上找指纹；周围是否有监控；身上的伤痕；记住他们的长相（特征）；事发地点；人数；穿着；路人......</w:t>
      </w:r>
    </w:p>
    <w:p w14:paraId="7F07E825">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2.观看视频，了解警察是怎么收集证据。（拍照、物证）</w:t>
      </w:r>
    </w:p>
    <w:p w14:paraId="63C555BE">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（1）出示证据：依法维权要证据，一切能够证明案情事实的材料都可以成为证据，例如合同、书信、指纹、录音、电子邮件、证人证言等。</w:t>
      </w:r>
    </w:p>
    <w:p w14:paraId="2304874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（2）总结：所以如果我们的权益受到侵害，你自我保护和寻找途径的同时，要注意收集证据（板书：收集证据）</w:t>
      </w:r>
    </w:p>
    <w:p w14:paraId="1AD172C6">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3.同学们想不想来试一下，怎么收集证据呢？下列案例，了解可以收集什么证据：</w:t>
      </w:r>
    </w:p>
    <w:p w14:paraId="4D704F91">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学生自主在课文中写一写。</w:t>
      </w:r>
    </w:p>
    <w:p w14:paraId="770821F2">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分案例指名学生交流汇报。</w:t>
      </w:r>
    </w:p>
    <w:p w14:paraId="55D3082E">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教师引导学生了解：搜集证据对查明案件事实，正确处理案件具有十分重要的意义。但是我们注意搜集证据的方法，必须具有合法性。</w:t>
      </w:r>
    </w:p>
    <w:p w14:paraId="1F25B0E9">
      <w:pPr>
        <w:numPr>
          <w:ilvl w:val="0"/>
          <w:numId w:val="0"/>
        </w:numPr>
        <w:jc w:val="left"/>
        <w:rPr>
          <w:rFonts w:hint="eastAsia" w:ascii="宋体" w:hAnsi="宋体" w:eastAsia="宋体" w:cs="宋体"/>
          <w:sz w:val="24"/>
          <w:szCs w:val="24"/>
          <w:highlight w:val="none"/>
        </w:rPr>
      </w:pPr>
      <w:r>
        <w:rPr>
          <w:rFonts w:hint="eastAsia" w:ascii="仿宋" w:hAnsi="仿宋" w:eastAsia="仿宋" w:cs="仿宋"/>
          <w:sz w:val="24"/>
          <w:szCs w:val="24"/>
          <w:lang w:val="en-US" w:eastAsia="zh-CN"/>
        </w:rPr>
        <w:t>4、补充“小方的维权日记”结局：“在爸妈的帮助下，我回忆了男生的穿着和长相，还和爸妈一起拍了胡同的现场照片。民警叔叔通过这些线索，找到了那几个男生，他们向我道歉了，还退还了零花钱</w:t>
      </w:r>
      <w:r>
        <w:rPr>
          <w:rFonts w:hint="eastAsia" w:ascii="宋体" w:hAnsi="宋体" w:eastAsia="宋体" w:cs="宋体"/>
          <w:sz w:val="24"/>
          <w:szCs w:val="24"/>
          <w:highlight w:val="none"/>
          <w:lang w:val="en-US" w:eastAsia="zh-CN"/>
        </w:rPr>
        <w:t>！</w:t>
      </w:r>
      <w:r>
        <w:rPr>
          <w:rFonts w:hint="eastAsia" w:ascii="仿宋" w:hAnsi="仿宋" w:eastAsia="仿宋" w:cs="仿宋"/>
          <w:sz w:val="24"/>
          <w:szCs w:val="24"/>
          <w:lang w:val="en-US" w:eastAsia="zh-CN"/>
        </w:rPr>
        <w:t>原来依法维权真的有用！”</w:t>
      </w:r>
    </w:p>
    <w:p w14:paraId="428BEED7">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活动四：生活中怎样维权</w:t>
      </w:r>
    </w:p>
    <w:p w14:paraId="48A47EF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方案一：除了小方外，在我们的生活中，可能也会遇到权益受到侵害的时候，这是老师提前调查过的，这几个是同学们在生活中经常遇到的？</w:t>
      </w:r>
    </w:p>
    <w:p w14:paraId="5FA924B4">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方案二：除了小方外在我们的生活，也会遇到类似的权益受到侵害的情况，老师让大家回去采访了家人亲戚，谁来说一说？</w:t>
      </w:r>
    </w:p>
    <w:p w14:paraId="7A0558E5">
      <w:pPr>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以上说完后，可以过渡：除了同学们说到的，其实还有一些现象在我们的生活中很普遍，比如这里的网聊</w:t>
      </w:r>
    </w:p>
    <w:p w14:paraId="7E26D08E">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1.引导学生分析遇到以下情况，怎么做。</w:t>
      </w:r>
    </w:p>
    <w:p w14:paraId="2606A781">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先询问学生是否遇到这样的情况。（PPT）</w:t>
      </w:r>
    </w:p>
    <w:p w14:paraId="509C3AF5">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指名学生自由说。</w:t>
      </w:r>
    </w:p>
    <w:p w14:paraId="33FAB4D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播放视频，了解网聊的危害。</w:t>
      </w:r>
    </w:p>
    <w:p w14:paraId="21BA5F09">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（看完视频：网聊的过程中由于隐私的泄露，不法分子借此做违法的事，我们的权益就会收到侵害，同时如果我们不去维权，就会让不法分子逍遥法外。）</w:t>
      </w:r>
    </w:p>
    <w:p w14:paraId="4B659121">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看完视频后，告诉我们一个什么道理。</w:t>
      </w:r>
    </w:p>
    <w:p w14:paraId="18BD6273">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预设：不能把自己的个人信息告诉陌生人，网聊需谨慎，小心防受骗。</w:t>
      </w:r>
    </w:p>
    <w:p w14:paraId="59488000">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3.如果我们刚认识不久的朋友，他跟我们有一点熟了，他想跟你一起玩，或者带你到哪里玩，你能不能去？</w:t>
      </w:r>
    </w:p>
    <w:p w14:paraId="3A36CBEF">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观看图片，播放视频，了解危害。</w:t>
      </w:r>
    </w:p>
    <w:p w14:paraId="067A38F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我们在生活中，除了网络上不能轻信以外，我们还要警惕半熟脸，识破新骗局。（警惕半熟脸，识破新骗局）</w:t>
      </w:r>
    </w:p>
    <w:p w14:paraId="3EB5E477">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师：同学们，法律在我们的身边，在我们的周围，我们要用法律来维权。我们自己也要知法守法、依法维权。让我们一起做一个既有道德情操，又有法治思维，温暖和智慧的人。</w:t>
      </w:r>
    </w:p>
    <w:p w14:paraId="59988C2F">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6.课外拓展：</w:t>
      </w:r>
    </w:p>
    <w:p w14:paraId="2638326C">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（1）动手巧练习:用智能手机或pad练习录音录像、拍照等功能。</w:t>
      </w:r>
    </w:p>
    <w:p w14:paraId="2960923D">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（2）动脑会生活:今后如果遇到侵权行为，正确判断、妥善处理。</w:t>
      </w:r>
    </w:p>
    <w:p w14:paraId="1F4B0739">
      <w:pPr>
        <w:numPr>
          <w:ilvl w:val="0"/>
          <w:numId w:val="0"/>
        </w:numPr>
        <w:spacing w:line="360" w:lineRule="auto"/>
        <w:jc w:val="both"/>
        <w:rPr>
          <w:rFonts w:hint="eastAsia" w:ascii="宋体" w:hAnsi="宋体" w:eastAsia="宋体" w:cs="宋体"/>
          <w:b/>
          <w:bCs/>
          <w:sz w:val="24"/>
          <w:szCs w:val="24"/>
          <w:highlight w:val="none"/>
          <w:vertAlign w:val="baseline"/>
          <w:lang w:val="en-US" w:eastAsia="zh-CN"/>
        </w:rPr>
      </w:pPr>
    </w:p>
    <w:p w14:paraId="49BEBD4B">
      <w:pPr>
        <w:numPr>
          <w:ilvl w:val="0"/>
          <w:numId w:val="0"/>
        </w:numPr>
        <w:spacing w:line="360" w:lineRule="auto"/>
        <w:jc w:val="both"/>
        <w:rPr>
          <w:rFonts w:hint="eastAsia" w:ascii="宋体" w:hAnsi="宋体" w:eastAsia="宋体" w:cs="宋体"/>
          <w:b/>
          <w:bCs/>
          <w:sz w:val="28"/>
          <w:szCs w:val="28"/>
          <w:vertAlign w:val="baseline"/>
          <w:lang w:val="en-US" w:eastAsia="zh-CN"/>
        </w:rPr>
      </w:pPr>
    </w:p>
    <w:p w14:paraId="475F0A95">
      <w:pPr>
        <w:numPr>
          <w:ilvl w:val="0"/>
          <w:numId w:val="0"/>
        </w:numPr>
        <w:spacing w:line="360" w:lineRule="auto"/>
        <w:jc w:val="both"/>
        <w:rPr>
          <w:rFonts w:hint="eastAsia" w:ascii="宋体" w:hAnsi="宋体" w:eastAsia="宋体" w:cs="宋体"/>
          <w:b/>
          <w:bCs/>
          <w:sz w:val="28"/>
          <w:szCs w:val="28"/>
          <w:vertAlign w:val="baseline"/>
          <w:lang w:val="en-US" w:eastAsia="zh-CN"/>
        </w:rPr>
      </w:pPr>
    </w:p>
    <w:p w14:paraId="2F218777">
      <w:pPr>
        <w:numPr>
          <w:ilvl w:val="0"/>
          <w:numId w:val="0"/>
        </w:numPr>
        <w:spacing w:line="360" w:lineRule="auto"/>
        <w:jc w:val="both"/>
        <w:rPr>
          <w:rFonts w:hint="eastAsia" w:ascii="宋体" w:hAnsi="宋体" w:eastAsia="宋体" w:cs="宋体"/>
          <w:b/>
          <w:bCs/>
          <w:sz w:val="28"/>
          <w:szCs w:val="28"/>
          <w:vertAlign w:val="baseline"/>
          <w:lang w:val="en-US" w:eastAsia="zh-CN"/>
        </w:rPr>
      </w:pPr>
    </w:p>
    <w:p w14:paraId="7E93E20B">
      <w:pPr>
        <w:numPr>
          <w:ilvl w:val="0"/>
          <w:numId w:val="0"/>
        </w:numPr>
        <w:spacing w:line="360" w:lineRule="auto"/>
        <w:jc w:val="both"/>
        <w:rPr>
          <w:rFonts w:hint="eastAsia" w:ascii="宋体" w:hAnsi="宋体" w:eastAsia="宋体" w:cs="宋体"/>
          <w:b/>
          <w:bCs/>
          <w:sz w:val="28"/>
          <w:szCs w:val="28"/>
          <w:vertAlign w:val="baseline"/>
          <w:lang w:val="en-US" w:eastAsia="zh-CN"/>
        </w:rPr>
      </w:pPr>
    </w:p>
    <w:p w14:paraId="2F857FE7">
      <w:pPr>
        <w:numPr>
          <w:ilvl w:val="0"/>
          <w:numId w:val="0"/>
        </w:numPr>
        <w:spacing w:line="360" w:lineRule="auto"/>
        <w:jc w:val="both"/>
        <w:rPr>
          <w:rFonts w:hint="eastAsia" w:ascii="宋体" w:hAnsi="宋体" w:eastAsia="宋体" w:cs="宋体"/>
          <w:b/>
          <w:bCs/>
          <w:sz w:val="28"/>
          <w:szCs w:val="28"/>
          <w:vertAlign w:val="baseline"/>
          <w:lang w:val="en-US" w:eastAsia="zh-CN"/>
        </w:rPr>
      </w:pPr>
    </w:p>
    <w:p w14:paraId="1C0DDDAC">
      <w:pPr>
        <w:numPr>
          <w:ilvl w:val="0"/>
          <w:numId w:val="0"/>
        </w:numPr>
        <w:spacing w:line="360" w:lineRule="auto"/>
        <w:jc w:val="both"/>
        <w:rPr>
          <w:rFonts w:hint="eastAsia" w:ascii="宋体" w:hAnsi="宋体" w:eastAsia="宋体" w:cs="宋体"/>
          <w:b/>
          <w:bCs/>
          <w:sz w:val="28"/>
          <w:szCs w:val="28"/>
          <w:vertAlign w:val="baseline"/>
          <w:lang w:val="en-US" w:eastAsia="zh-CN"/>
        </w:rPr>
      </w:pPr>
    </w:p>
    <w:p w14:paraId="04B40207">
      <w:pPr>
        <w:numPr>
          <w:ilvl w:val="0"/>
          <w:numId w:val="0"/>
        </w:numPr>
        <w:spacing w:line="360" w:lineRule="auto"/>
        <w:jc w:val="both"/>
        <w:rPr>
          <w:rFonts w:hint="eastAsia" w:ascii="宋体" w:hAnsi="宋体" w:eastAsia="宋体" w:cs="宋体"/>
          <w:b/>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bCs/>
          <w:color w:val="000000" w:themeColor="text1"/>
          <w:sz w:val="28"/>
          <w:szCs w:val="28"/>
          <w:vertAlign w:val="baseline"/>
          <w:lang w:val="en-US" w:eastAsia="zh-CN"/>
          <w14:textFill>
            <w14:solidFill>
              <w14:schemeClr w14:val="tx1"/>
            </w14:solidFill>
          </w14:textFill>
        </w:rPr>
        <w:t>环节二：思政学习</w:t>
      </w:r>
    </w:p>
    <w:p w14:paraId="2F7BA524">
      <w:pPr>
        <w:jc w:val="both"/>
        <w:rPr>
          <w:rFonts w:hint="eastAsia" w:ascii="微软雅黑" w:hAnsi="微软雅黑" w:eastAsia="微软雅黑" w:cs="微软雅黑"/>
          <w:b w:val="0"/>
          <w:bCs w:val="0"/>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8"/>
          <w:szCs w:val="28"/>
          <w:lang w:val="en-US" w:eastAsia="zh-CN"/>
          <w14:textFill>
            <w14:solidFill>
              <w14:schemeClr w14:val="tx1"/>
            </w14:solidFill>
          </w14:textFill>
        </w:rPr>
        <w:t>飞龙实验小学 李叶男《从思政角度看网红鸡排哥》</w:t>
      </w:r>
    </w:p>
    <w:p w14:paraId="3CEDB6B2">
      <w:pPr>
        <w:jc w:val="both"/>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drawing>
          <wp:inline distT="0" distB="0" distL="114300" distR="114300">
            <wp:extent cx="5757545" cy="3553460"/>
            <wp:effectExtent l="0" t="0" r="8255" b="2540"/>
            <wp:docPr id="21" name="图片 21" descr="截屏2026-03-11 上午9.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屏2026-03-11 上午9.48.47"/>
                    <pic:cNvPicPr>
                      <a:picLocks noChangeAspect="1"/>
                    </pic:cNvPicPr>
                  </pic:nvPicPr>
                  <pic:blipFill>
                    <a:blip r:embed="rId7"/>
                    <a:stretch>
                      <a:fillRect/>
                    </a:stretch>
                  </pic:blipFill>
                  <pic:spPr>
                    <a:xfrm>
                      <a:off x="0" y="0"/>
                      <a:ext cx="5757545" cy="3553460"/>
                    </a:xfrm>
                    <a:prstGeom prst="rect">
                      <a:avLst/>
                    </a:prstGeom>
                  </pic:spPr>
                </pic:pic>
              </a:graphicData>
            </a:graphic>
          </wp:inline>
        </w:drawing>
      </w:r>
      <w:r>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drawing>
          <wp:inline distT="0" distB="0" distL="114300" distR="114300">
            <wp:extent cx="5757545" cy="3479165"/>
            <wp:effectExtent l="0" t="0" r="8255" b="635"/>
            <wp:docPr id="20" name="图片 20" descr="截屏2026-03-11 上午9.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6-03-11 上午9.48.53"/>
                    <pic:cNvPicPr>
                      <a:picLocks noChangeAspect="1"/>
                    </pic:cNvPicPr>
                  </pic:nvPicPr>
                  <pic:blipFill>
                    <a:blip r:embed="rId8"/>
                    <a:stretch>
                      <a:fillRect/>
                    </a:stretch>
                  </pic:blipFill>
                  <pic:spPr>
                    <a:xfrm>
                      <a:off x="0" y="0"/>
                      <a:ext cx="5757545" cy="3479165"/>
                    </a:xfrm>
                    <a:prstGeom prst="rect">
                      <a:avLst/>
                    </a:prstGeom>
                  </pic:spPr>
                </pic:pic>
              </a:graphicData>
            </a:graphic>
          </wp:inline>
        </w:drawing>
      </w:r>
      <w:r>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drawing>
          <wp:inline distT="0" distB="0" distL="114300" distR="114300">
            <wp:extent cx="5754370" cy="3650615"/>
            <wp:effectExtent l="0" t="0" r="11430" b="6985"/>
            <wp:docPr id="19" name="图片 19" descr="截屏2026-03-11 上午9.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屏2026-03-11 上午9.49.03"/>
                    <pic:cNvPicPr>
                      <a:picLocks noChangeAspect="1"/>
                    </pic:cNvPicPr>
                  </pic:nvPicPr>
                  <pic:blipFill>
                    <a:blip r:embed="rId9"/>
                    <a:stretch>
                      <a:fillRect/>
                    </a:stretch>
                  </pic:blipFill>
                  <pic:spPr>
                    <a:xfrm>
                      <a:off x="0" y="0"/>
                      <a:ext cx="5754370" cy="3650615"/>
                    </a:xfrm>
                    <a:prstGeom prst="rect">
                      <a:avLst/>
                    </a:prstGeom>
                  </pic:spPr>
                </pic:pic>
              </a:graphicData>
            </a:graphic>
          </wp:inline>
        </w:drawing>
      </w:r>
      <w:r>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drawing>
          <wp:inline distT="0" distB="0" distL="114300" distR="114300">
            <wp:extent cx="5760720" cy="3637280"/>
            <wp:effectExtent l="0" t="0" r="5080" b="20320"/>
            <wp:docPr id="18" name="图片 18" descr="截屏2026-03-11 上午9.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截屏2026-03-11 上午9.49.09"/>
                    <pic:cNvPicPr>
                      <a:picLocks noChangeAspect="1"/>
                    </pic:cNvPicPr>
                  </pic:nvPicPr>
                  <pic:blipFill>
                    <a:blip r:embed="rId10"/>
                    <a:stretch>
                      <a:fillRect/>
                    </a:stretch>
                  </pic:blipFill>
                  <pic:spPr>
                    <a:xfrm>
                      <a:off x="0" y="0"/>
                      <a:ext cx="5760720" cy="3637280"/>
                    </a:xfrm>
                    <a:prstGeom prst="rect">
                      <a:avLst/>
                    </a:prstGeom>
                  </pic:spPr>
                </pic:pic>
              </a:graphicData>
            </a:graphic>
          </wp:inline>
        </w:drawing>
      </w:r>
      <w:r>
        <w:rPr>
          <w:rFonts w:hint="default" w:ascii="微软雅黑" w:hAnsi="微软雅黑" w:eastAsia="微软雅黑" w:cs="微软雅黑"/>
          <w:b w:val="0"/>
          <w:bCs w:val="0"/>
          <w:color w:val="000000" w:themeColor="text1"/>
          <w:sz w:val="28"/>
          <w:szCs w:val="28"/>
          <w:lang w:val="en-US" w:eastAsia="zh-CN"/>
          <w14:textFill>
            <w14:solidFill>
              <w14:schemeClr w14:val="tx1"/>
            </w14:solidFill>
          </w14:textFill>
        </w:rPr>
        <w:drawing>
          <wp:inline distT="0" distB="0" distL="114300" distR="114300">
            <wp:extent cx="5756275" cy="1111885"/>
            <wp:effectExtent l="0" t="0" r="9525" b="5715"/>
            <wp:docPr id="17" name="图片 17" descr="截屏2026-03-11 上午9.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屏2026-03-11 上午9.49.16"/>
                    <pic:cNvPicPr>
                      <a:picLocks noChangeAspect="1"/>
                    </pic:cNvPicPr>
                  </pic:nvPicPr>
                  <pic:blipFill>
                    <a:blip r:embed="rId11"/>
                    <a:stretch>
                      <a:fillRect/>
                    </a:stretch>
                  </pic:blipFill>
                  <pic:spPr>
                    <a:xfrm>
                      <a:off x="0" y="0"/>
                      <a:ext cx="5756275" cy="1111885"/>
                    </a:xfrm>
                    <a:prstGeom prst="rect">
                      <a:avLst/>
                    </a:prstGeom>
                  </pic:spPr>
                </pic:pic>
              </a:graphicData>
            </a:graphic>
          </wp:inline>
        </w:drawing>
      </w:r>
    </w:p>
    <w:p w14:paraId="553B3856">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1453D5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8"/>
          <w:szCs w:val="28"/>
          <w:lang w:val="en-US" w:eastAsia="zh-CN"/>
          <w14:textFill>
            <w14:solidFill>
              <w14:schemeClr w14:val="tx1"/>
            </w14:solidFill>
          </w14:textFill>
        </w:rPr>
        <w:t>法治赋能思政课堂 素养引领成长之路</w:t>
      </w:r>
    </w:p>
    <w:p w14:paraId="7C3CE0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为深入贯彻新课标理念，聚焦法治教育核心素养培育，搭建区域思政教学交流平台，推动道德与法治课堂提质增效，2025年1月22日下午，新北区大中小学思政课一体化建设吴海燕优秀教师培育室第三十四次教研活动在飞龙实验小学泰山校区顺利举行。培育室全体思政教师齐聚一堂，以“法治赋能思政课堂 素养引领成长之路”为主题，通过课堂展示、专题学习、互动研讨、专家引领四大环节，共探法治教育与责任担当的融合路径。</w:t>
      </w:r>
    </w:p>
    <w:p w14:paraId="3FD4C14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t>一、课程思政：沉浸式法治课堂，筑牢少年守法根基</w:t>
      </w:r>
    </w:p>
    <w:p w14:paraId="710F9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活动伊始，两节六年级法治示范课依次亮相，以鲜活情境与实践演练构建起知行合一的法治教育闭环。</w:t>
      </w:r>
    </w:p>
    <w:p w14:paraId="4C05A9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飞龙实验小学马璐老师带来《守法不违法》一课，以“AI少年检察官”为情境主线，巧妙融合电影《第二十条》素材，设置不良行为边界、校园欺凌、身体隐私保护三起典型案件，引导学生化身“少年检察官”辨析是非、模拟听证。课堂上，学生们围绕“校园欺凌的边界在哪里”“面对不法侵害如何自保”等问题展开热烈讨论，在思辨中提炼出“三要三不”反欺凌原则与“NOT”自我保护原则，深刻理解“法不能向不法让步”的法治精神。课后，马老师布置“家庭安全会谈”与“法治宣传创作”延伸作业，将法治教育从课堂延伸至家庭与社会。</w:t>
      </w:r>
    </w:p>
    <w:p w14:paraId="4B924B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紧随其后，李叶男老师执教《依法维权有途径》，以“小方维权日记”贯穿全课，遵循“自我保护→寻找途径→收集证据→生活应用”的逻辑脉络层层推进。课堂中，李老师不仅教授紧急避险技巧，还系统梳理了家长、学校、法律援助、公安、法院等多元维权渠道，通过案例分析强化学生的证据意识与合法维权理念，引导学生坚决反对以暴制暴。同时，她将网络安全、防诈骗、熟人陷阱等生活场景融入教学，让法治知识真正转化为学生可操作的生活技能。</w:t>
      </w:r>
    </w:p>
    <w:p w14:paraId="5B60D8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两节示范课以情境化、沉浸式的教学方式，让抽象的法律条文变得可感可学，有效落实了法治观念与责任意识的核心素养培育目标。</w:t>
      </w:r>
    </w:p>
    <w:p w14:paraId="6354904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t>二、思政学习：从“鸡排哥”故事，解码责任担当密码</w:t>
      </w:r>
    </w:p>
    <w:p w14:paraId="0161B9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在思政学习环节，李叶男老师以《从思政角度看网红鸡排哥》为主题，将热点人物案例与思政教育深度融合，为在场教师呈现了一堂生动的责任担当示范课。</w:t>
      </w:r>
    </w:p>
    <w:p w14:paraId="1BB9A2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李老师以江西景德镇“鸡排哥”李俊永的爆火故事为切入点，梳理了他坚守品质、诚信经营的日常细节：坚持每日更换烹炸用油、明码标价不随意涨价、鸡排掉桌立即丢弃并给顾客免单；同时，他还主动关爱学生，给附近学生优惠1元、四点半后优先服务学生群体，记住老顾客口味并提供情绪价值。更令人动容的是，“鸡排哥”在爆火后拒绝百万加盟费，坚守初心不盲目扩张，还主动宣传景德镇，助力家乡文旅发展，被授予“景德镇文旅推介官”称号。</w:t>
      </w:r>
    </w:p>
    <w:p w14:paraId="32883D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从这些平凡却闪光的行动中，李老师解读了责任的深刻内涵：责任不仅是分内之事，更涵盖对自己、他人、社会、国家四个层面。她指出，负责任的实践路径可分为三层：一是夯实“本味”，对自己负责，精进技艺、坚守底线；二是添加“风味”，对他人负责，心怀善意、温暖待人；三是提升“格调”，对社会和国家负责，将个人发展与家乡建设、时代需求相结合。这一解读让在场教师深刻认识到，责任担当从来不是宏大叙事，而是藏在每一次坚守、每一份善意的平凡行动中。</w:t>
      </w:r>
    </w:p>
    <w:p w14:paraId="550E09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三、互动研讨：思辨碰撞智慧，共话思政提质路径</w:t>
      </w:r>
    </w:p>
    <w:p w14:paraId="1A1119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在互动研讨环节，培育室全体成员围绕两节示范课与专题学习内容展开说课、评课，在思想碰撞中凝聚教研共识。</w:t>
      </w:r>
    </w:p>
    <w:p w14:paraId="6463B5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与会教师纷纷表示，两节法治课亮点突出：一是情境化设计鲜活生动，AI技术、影视IP、生活案例的融入极大激发了学生兴趣，让法治教育更具代入感；二是素养导向清晰明确，从法律认知到实践能力，层层递进落实法治观念与责任意识，实现知识传授与价值引领的统一；三是贴近生活实用性强，聚焦校园欺凌、网络安全、权益侵害等学生身边的真实场景，教授的方法可直接运用于生活，真正做到了“学法治、用法治”。</w:t>
      </w:r>
    </w:p>
    <w:p w14:paraId="29D7A4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针对“鸡排哥”专题学习，教师们认为，将网红热点转化为思政素材，为道德与法治课堂提供了全新思路：既贴合学生认知，又能引导学生从平凡人物身上感悟责任担当，让思政教育更有温度、更接地气。大家还围绕“如何挖掘更多生活中的思政案例”“如何平衡法治知识传授与价值引领”等问题展开深入交流，为后续课堂教学积累了宝贵经验。</w:t>
      </w:r>
    </w:p>
    <w:p w14:paraId="658A3F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val="en-US" w:eastAsia="zh-CN"/>
          <w14:textFill>
            <w14:solidFill>
              <w14:schemeClr w14:val="tx1"/>
            </w14:solidFill>
          </w14:textFill>
        </w:rPr>
        <w:t>四、引领提升：专家精准点拨，锚定一体化发展方向</w:t>
      </w:r>
    </w:p>
    <w:p w14:paraId="093EA3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活动最后，培育室领衔人吴海燕老师作总结提升与专家引领。她充分肯定了本次活动的成效，指出两节法治课与专题学习立足新课标，将热点案例、数字技术、生活实践有机融合，构建了“守法+维权”的完整法治教育体系，为区域大中小学思政课一体化建设提供了优质示范。</w:t>
      </w:r>
    </w:p>
    <w:p w14:paraId="5AD175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p>
    <w:p w14:paraId="752A0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吴海燕老师强调，思政课教师要始终坚守“为党育人、为国育才”的初心使命，在教学中做到三点：一是强化素养导向，将法治观念、责任担当等核心素养融入课堂全过程，避免知识灌输；二是贴近学生生活，善于挖掘身边的鲜活案例，让思政教育从“高大上”走向“接地气”；三是推动一体化建设，加强大中小学思政课的衔接与联动，形成育人合力，助力学生成长为有理想、敢担当、能吃苦、肯奋斗的新时代好青年。</w:t>
      </w:r>
    </w:p>
    <w:p w14:paraId="5AEFB5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此次活动不仅为培育室教师提供了交流学习的平台，更明晰了法治教育与责任担当培育的实践路径。未来，培育室将继续以新课标为指引，深耕思政课堂，推动区域思政教育高质量发展，为培养担当民族复兴大任的时代新人贡献力量。</w:t>
      </w:r>
    </w:p>
    <w:p w14:paraId="3FA19D40">
      <w:pPr>
        <w:jc w:val="both"/>
        <w:rPr>
          <w:rFonts w:hint="eastAsia" w:ascii="微软雅黑" w:hAnsi="微软雅黑" w:eastAsia="微软雅黑" w:cs="微软雅黑"/>
          <w:b w:val="0"/>
          <w:bCs w:val="0"/>
          <w:color w:val="FF0000"/>
          <w:sz w:val="28"/>
          <w:szCs w:val="28"/>
          <w:lang w:val="en-US" w:eastAsia="zh-CN"/>
        </w:rPr>
      </w:pPr>
    </w:p>
    <w:p w14:paraId="3CE70709">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lang w:eastAsia="zh-CN"/>
        </w:rPr>
      </w:pPr>
      <w:r>
        <w:rPr>
          <w:rFonts w:hint="eastAsia" w:ascii="宋体" w:hAnsi="宋体" w:eastAsia="宋体" w:cs="宋体"/>
          <w:i w:val="0"/>
          <w:iCs w:val="0"/>
          <w:caps w:val="0"/>
          <w:color w:val="313131"/>
          <w:spacing w:val="0"/>
          <w:sz w:val="10"/>
          <w:szCs w:val="10"/>
          <w:lang w:eastAsia="zh-CN"/>
        </w:rPr>
        <w:drawing>
          <wp:inline distT="0" distB="0" distL="114300" distR="114300">
            <wp:extent cx="5739765" cy="3216910"/>
            <wp:effectExtent l="0" t="0" r="635" b="8890"/>
            <wp:docPr id="22" name="图片 22" descr="QQ截图202602031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60203164519"/>
                    <pic:cNvPicPr>
                      <a:picLocks noChangeAspect="1"/>
                    </pic:cNvPicPr>
                  </pic:nvPicPr>
                  <pic:blipFill>
                    <a:blip r:embed="rId12"/>
                    <a:stretch>
                      <a:fillRect/>
                    </a:stretch>
                  </pic:blipFill>
                  <pic:spPr>
                    <a:xfrm>
                      <a:off x="0" y="0"/>
                      <a:ext cx="5739765" cy="3216910"/>
                    </a:xfrm>
                    <a:prstGeom prst="rect">
                      <a:avLst/>
                    </a:prstGeom>
                  </pic:spPr>
                </pic:pic>
              </a:graphicData>
            </a:graphic>
          </wp:inline>
        </w:drawing>
      </w:r>
    </w:p>
    <w:p w14:paraId="5C789BC9">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lang w:eastAsia="zh-CN"/>
        </w:rPr>
      </w:pPr>
      <w:r>
        <w:rPr>
          <w:rFonts w:hint="eastAsia" w:ascii="宋体" w:hAnsi="宋体" w:eastAsia="宋体" w:cs="宋体"/>
          <w:i w:val="0"/>
          <w:iCs w:val="0"/>
          <w:caps w:val="0"/>
          <w:color w:val="313131"/>
          <w:spacing w:val="0"/>
          <w:sz w:val="10"/>
          <w:szCs w:val="10"/>
          <w:lang w:eastAsia="zh-CN"/>
        </w:rPr>
        <w:drawing>
          <wp:inline distT="0" distB="0" distL="114300" distR="114300">
            <wp:extent cx="5755640" cy="4062730"/>
            <wp:effectExtent l="0" t="0" r="10160" b="1270"/>
            <wp:docPr id="23" name="图片 23" descr="截屏2026-03-11 上午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屏2026-03-11 上午10.03.34"/>
                    <pic:cNvPicPr>
                      <a:picLocks noChangeAspect="1"/>
                    </pic:cNvPicPr>
                  </pic:nvPicPr>
                  <pic:blipFill>
                    <a:blip r:embed="rId13"/>
                    <a:stretch>
                      <a:fillRect/>
                    </a:stretch>
                  </pic:blipFill>
                  <pic:spPr>
                    <a:xfrm>
                      <a:off x="0" y="0"/>
                      <a:ext cx="5755640" cy="4062730"/>
                    </a:xfrm>
                    <a:prstGeom prst="rect">
                      <a:avLst/>
                    </a:prstGeom>
                  </pic:spPr>
                </pic:pic>
              </a:graphicData>
            </a:graphic>
          </wp:inline>
        </w:drawing>
      </w:r>
      <w:r>
        <w:rPr>
          <w:rFonts w:hint="eastAsia" w:ascii="宋体" w:hAnsi="宋体" w:eastAsia="宋体" w:cs="宋体"/>
          <w:i w:val="0"/>
          <w:iCs w:val="0"/>
          <w:caps w:val="0"/>
          <w:color w:val="313131"/>
          <w:spacing w:val="0"/>
          <w:sz w:val="10"/>
          <w:szCs w:val="10"/>
          <w:lang w:eastAsia="zh-CN"/>
        </w:rPr>
        <w:drawing>
          <wp:inline distT="0" distB="0" distL="114300" distR="114300">
            <wp:extent cx="5758815" cy="4128135"/>
            <wp:effectExtent l="0" t="0" r="6985" b="12065"/>
            <wp:docPr id="25" name="图片 25" descr="截屏2026-03-11 上午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屏2026-03-11 上午10.03.20"/>
                    <pic:cNvPicPr>
                      <a:picLocks noChangeAspect="1"/>
                    </pic:cNvPicPr>
                  </pic:nvPicPr>
                  <pic:blipFill>
                    <a:blip r:embed="rId14"/>
                    <a:stretch>
                      <a:fillRect/>
                    </a:stretch>
                  </pic:blipFill>
                  <pic:spPr>
                    <a:xfrm>
                      <a:off x="0" y="0"/>
                      <a:ext cx="5758815" cy="4128135"/>
                    </a:xfrm>
                    <a:prstGeom prst="rect">
                      <a:avLst/>
                    </a:prstGeom>
                  </pic:spPr>
                </pic:pic>
              </a:graphicData>
            </a:graphic>
          </wp:inline>
        </w:drawing>
      </w:r>
      <w:r>
        <w:rPr>
          <w:rFonts w:hint="eastAsia" w:ascii="宋体" w:hAnsi="宋体" w:eastAsia="宋体" w:cs="宋体"/>
          <w:i w:val="0"/>
          <w:iCs w:val="0"/>
          <w:caps w:val="0"/>
          <w:color w:val="313131"/>
          <w:spacing w:val="0"/>
          <w:sz w:val="10"/>
          <w:szCs w:val="10"/>
          <w:lang w:eastAsia="zh-CN"/>
        </w:rPr>
        <w:drawing>
          <wp:inline distT="0" distB="0" distL="114300" distR="114300">
            <wp:extent cx="5753100" cy="4252595"/>
            <wp:effectExtent l="0" t="0" r="12700" b="14605"/>
            <wp:docPr id="24" name="图片 24" descr="截屏2026-03-11 上午1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屏2026-03-11 上午10.03.27"/>
                    <pic:cNvPicPr>
                      <a:picLocks noChangeAspect="1"/>
                    </pic:cNvPicPr>
                  </pic:nvPicPr>
                  <pic:blipFill>
                    <a:blip r:embed="rId15"/>
                    <a:stretch>
                      <a:fillRect/>
                    </a:stretch>
                  </pic:blipFill>
                  <pic:spPr>
                    <a:xfrm>
                      <a:off x="0" y="0"/>
                      <a:ext cx="5753100" cy="4252595"/>
                    </a:xfrm>
                    <a:prstGeom prst="rect">
                      <a:avLst/>
                    </a:prstGeom>
                  </pic:spPr>
                </pic:pic>
              </a:graphicData>
            </a:graphic>
          </wp:inline>
        </w:drawing>
      </w:r>
      <w:r>
        <w:rPr>
          <w:rFonts w:hint="eastAsia" w:ascii="宋体" w:hAnsi="宋体" w:eastAsia="宋体" w:cs="宋体"/>
          <w:i w:val="0"/>
          <w:iCs w:val="0"/>
          <w:caps w:val="0"/>
          <w:color w:val="313131"/>
          <w:spacing w:val="0"/>
          <w:sz w:val="10"/>
          <w:szCs w:val="10"/>
          <w:lang w:eastAsia="zh-CN"/>
        </w:rPr>
        <w:drawing>
          <wp:inline distT="0" distB="0" distL="114300" distR="114300">
            <wp:extent cx="5760720" cy="8592820"/>
            <wp:effectExtent l="0" t="0" r="5080" b="17780"/>
            <wp:docPr id="28" name="图片 28" descr="QQ图片2026031110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60311100008(4)"/>
                    <pic:cNvPicPr>
                      <a:picLocks noChangeAspect="1"/>
                    </pic:cNvPicPr>
                  </pic:nvPicPr>
                  <pic:blipFill>
                    <a:blip r:embed="rId16"/>
                    <a:stretch>
                      <a:fillRect/>
                    </a:stretch>
                  </pic:blipFill>
                  <pic:spPr>
                    <a:xfrm>
                      <a:off x="0" y="0"/>
                      <a:ext cx="5760720" cy="8592820"/>
                    </a:xfrm>
                    <a:prstGeom prst="rect">
                      <a:avLst/>
                    </a:prstGeom>
                  </pic:spPr>
                </pic:pic>
              </a:graphicData>
            </a:graphic>
          </wp:inline>
        </w:drawing>
      </w:r>
      <w:r>
        <w:rPr>
          <w:rFonts w:hint="eastAsia" w:ascii="宋体" w:hAnsi="宋体" w:eastAsia="宋体" w:cs="宋体"/>
          <w:i w:val="0"/>
          <w:iCs w:val="0"/>
          <w:caps w:val="0"/>
          <w:color w:val="313131"/>
          <w:spacing w:val="0"/>
          <w:sz w:val="10"/>
          <w:szCs w:val="10"/>
          <w:lang w:eastAsia="zh-CN"/>
        </w:rPr>
        <w:drawing>
          <wp:inline distT="0" distB="0" distL="114300" distR="114300">
            <wp:extent cx="5750560" cy="7666355"/>
            <wp:effectExtent l="0" t="0" r="15240" b="4445"/>
            <wp:docPr id="27" name="图片 27" descr="QQ图片202603111000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60311100016(20)"/>
                    <pic:cNvPicPr>
                      <a:picLocks noChangeAspect="1"/>
                    </pic:cNvPicPr>
                  </pic:nvPicPr>
                  <pic:blipFill>
                    <a:blip r:embed="rId17"/>
                    <a:stretch>
                      <a:fillRect/>
                    </a:stretch>
                  </pic:blipFill>
                  <pic:spPr>
                    <a:xfrm>
                      <a:off x="0" y="0"/>
                      <a:ext cx="5750560" cy="7666355"/>
                    </a:xfrm>
                    <a:prstGeom prst="rect">
                      <a:avLst/>
                    </a:prstGeom>
                  </pic:spPr>
                </pic:pic>
              </a:graphicData>
            </a:graphic>
          </wp:inline>
        </w:drawing>
      </w:r>
      <w:r>
        <w:rPr>
          <w:rFonts w:hint="eastAsia" w:ascii="宋体" w:hAnsi="宋体" w:eastAsia="宋体" w:cs="宋体"/>
          <w:i w:val="0"/>
          <w:iCs w:val="0"/>
          <w:caps w:val="0"/>
          <w:color w:val="313131"/>
          <w:spacing w:val="0"/>
          <w:sz w:val="10"/>
          <w:szCs w:val="10"/>
          <w:lang w:eastAsia="zh-CN"/>
        </w:rPr>
        <w:drawing>
          <wp:inline distT="0" distB="0" distL="114300" distR="114300">
            <wp:extent cx="4961255" cy="8193405"/>
            <wp:effectExtent l="0" t="0" r="1270" b="7620"/>
            <wp:docPr id="26" name="图片 26" descr="QQ图片20260311100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60311100024(38)"/>
                    <pic:cNvPicPr>
                      <a:picLocks noChangeAspect="1"/>
                    </pic:cNvPicPr>
                  </pic:nvPicPr>
                  <pic:blipFill>
                    <a:blip r:embed="rId18"/>
                    <a:stretch>
                      <a:fillRect/>
                    </a:stretch>
                  </pic:blipFill>
                  <pic:spPr>
                    <a:xfrm>
                      <a:off x="0" y="0"/>
                      <a:ext cx="4961255" cy="8193405"/>
                    </a:xfrm>
                    <a:prstGeom prst="rect">
                      <a:avLst/>
                    </a:prstGeom>
                  </pic:spPr>
                </pic:pic>
              </a:graphicData>
            </a:graphic>
          </wp:inline>
        </w:drawing>
      </w:r>
    </w:p>
    <w:p w14:paraId="4B7C15CD">
      <w:pPr>
        <w:spacing w:line="360" w:lineRule="auto"/>
        <w:jc w:val="right"/>
        <w:rPr>
          <w:rFonts w:hint="eastAsia" w:ascii="微软雅黑" w:hAnsi="微软雅黑" w:eastAsia="微软雅黑" w:cs="微软雅黑"/>
          <w:b w:val="0"/>
          <w:bCs w:val="0"/>
          <w:color w:val="FF0000"/>
          <w:sz w:val="28"/>
          <w:szCs w:val="28"/>
          <w:lang w:val="en-US" w:eastAsia="zh-CN"/>
        </w:rPr>
      </w:pPr>
      <w:r>
        <w:rPr>
          <w:rFonts w:hint="eastAsia" w:ascii="宋体" w:hAnsi="宋体" w:eastAsia="宋体" w:cs="宋体"/>
          <w:b w:val="0"/>
          <w:bCs w:val="0"/>
          <w:sz w:val="24"/>
          <w:szCs w:val="24"/>
          <w:lang w:val="en-US" w:eastAsia="zh-CN"/>
        </w:rPr>
        <w:t>（本期资料整理：常州市龙城小学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沈佳敏）</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undefined">
    <w:altName w:val="字由点字浩魂"/>
    <w:panose1 w:val="00000000000000000000"/>
    <w:charset w:val="00"/>
    <w:family w:val="auto"/>
    <w:pitch w:val="default"/>
    <w:sig w:usb0="00000000" w:usb1="00000000" w:usb2="00000000" w:usb3="00000000" w:csb0="00040001" w:csb1="00000000"/>
  </w:font>
  <w:font w:name="字由点字浩魂">
    <w:panose1 w:val="02000009000000000000"/>
    <w:charset w:val="86"/>
    <w:family w:val="auto"/>
    <w:pitch w:val="default"/>
    <w:sig w:usb0="00000000" w:usb1="08000000" w:usb2="00000000" w:usb3="00000000" w:csb0="0004009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3CE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9156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729156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9F32A">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BBE43"/>
    <w:multiLevelType w:val="singleLevel"/>
    <w:tmpl w:val="872BBE43"/>
    <w:lvl w:ilvl="0" w:tentative="0">
      <w:start w:val="6"/>
      <w:numFmt w:val="chineseCounting"/>
      <w:suff w:val="nothing"/>
      <w:lvlText w:val="%1、"/>
      <w:lvlJc w:val="left"/>
      <w:rPr>
        <w:rFonts w:hint="eastAsia"/>
      </w:rPr>
    </w:lvl>
  </w:abstractNum>
  <w:abstractNum w:abstractNumId="1">
    <w:nsid w:val="9E0E4CF8"/>
    <w:multiLevelType w:val="singleLevel"/>
    <w:tmpl w:val="9E0E4CF8"/>
    <w:lvl w:ilvl="0" w:tentative="0">
      <w:start w:val="3"/>
      <w:numFmt w:val="chineseCounting"/>
      <w:suff w:val="nothing"/>
      <w:lvlText w:val="（%1）"/>
      <w:lvlJc w:val="left"/>
      <w:rPr>
        <w:rFonts w:hint="eastAsia"/>
      </w:rPr>
    </w:lvl>
  </w:abstractNum>
  <w:abstractNum w:abstractNumId="2">
    <w:nsid w:val="9F559BEA"/>
    <w:multiLevelType w:val="singleLevel"/>
    <w:tmpl w:val="9F559BEA"/>
    <w:lvl w:ilvl="0" w:tentative="0">
      <w:start w:val="1"/>
      <w:numFmt w:val="decimal"/>
      <w:lvlText w:val="%1."/>
      <w:lvlJc w:val="left"/>
      <w:pPr>
        <w:tabs>
          <w:tab w:val="left" w:pos="312"/>
        </w:tabs>
      </w:pPr>
    </w:lvl>
  </w:abstractNum>
  <w:abstractNum w:abstractNumId="3">
    <w:nsid w:val="CBF7AE3B"/>
    <w:multiLevelType w:val="singleLevel"/>
    <w:tmpl w:val="CBF7AE3B"/>
    <w:lvl w:ilvl="0" w:tentative="0">
      <w:start w:val="1"/>
      <w:numFmt w:val="decimal"/>
      <w:lvlText w:val="%1."/>
      <w:lvlJc w:val="left"/>
      <w:pPr>
        <w:tabs>
          <w:tab w:val="left" w:pos="312"/>
        </w:tabs>
      </w:pPr>
    </w:lvl>
  </w:abstractNum>
  <w:abstractNum w:abstractNumId="4">
    <w:nsid w:val="57733EED"/>
    <w:multiLevelType w:val="singleLevel"/>
    <w:tmpl w:val="57733EED"/>
    <w:lvl w:ilvl="0" w:tentative="0">
      <w:start w:val="1"/>
      <w:numFmt w:val="chineseCounting"/>
      <w:suff w:val="nothing"/>
      <w:lvlText w:val="%1、"/>
      <w:lvlJc w:val="left"/>
      <w:rPr>
        <w:rFonts w:hint="eastAsia"/>
      </w:rPr>
    </w:lvl>
  </w:abstractNum>
  <w:abstractNum w:abstractNumId="5">
    <w:nsid w:val="5B540599"/>
    <w:multiLevelType w:val="singleLevel"/>
    <w:tmpl w:val="5B540599"/>
    <w:lvl w:ilvl="0" w:tentative="0">
      <w:start w:val="2"/>
      <w:numFmt w:val="decimal"/>
      <w:lvlText w:val="%1."/>
      <w:lvlJc w:val="left"/>
      <w:pPr>
        <w:tabs>
          <w:tab w:val="left" w:pos="312"/>
        </w:tabs>
      </w:pPr>
    </w:lvl>
  </w:abstractNum>
  <w:abstractNum w:abstractNumId="6">
    <w:nsid w:val="607DFC00"/>
    <w:multiLevelType w:val="singleLevel"/>
    <w:tmpl w:val="607DFC00"/>
    <w:lvl w:ilvl="0" w:tentative="0">
      <w:start w:val="1"/>
      <w:numFmt w:val="decimal"/>
      <w:lvlText w:val="%1."/>
      <w:lvlJc w:val="left"/>
      <w:pPr>
        <w:tabs>
          <w:tab w:val="left" w:pos="312"/>
        </w:tabs>
      </w:p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N2YzZGFiNmZhNjIyMzg5ZDBmYTIwNGU3ZDkxOTgifQ=="/>
  </w:docVars>
  <w:rsids>
    <w:rsidRoot w:val="627B4938"/>
    <w:rsid w:val="002B3BB5"/>
    <w:rsid w:val="0037181F"/>
    <w:rsid w:val="00A946E0"/>
    <w:rsid w:val="02337D11"/>
    <w:rsid w:val="03C07382"/>
    <w:rsid w:val="03E47515"/>
    <w:rsid w:val="043D3079"/>
    <w:rsid w:val="04DF6D68"/>
    <w:rsid w:val="05551D4C"/>
    <w:rsid w:val="05ED7736"/>
    <w:rsid w:val="074C52A5"/>
    <w:rsid w:val="076B5D5B"/>
    <w:rsid w:val="08C73A63"/>
    <w:rsid w:val="09CA2D09"/>
    <w:rsid w:val="0D7336B7"/>
    <w:rsid w:val="0F5A0F7A"/>
    <w:rsid w:val="0FF791B1"/>
    <w:rsid w:val="114642B3"/>
    <w:rsid w:val="121674FD"/>
    <w:rsid w:val="151C63E2"/>
    <w:rsid w:val="162E461F"/>
    <w:rsid w:val="179E3A27"/>
    <w:rsid w:val="17EC4D08"/>
    <w:rsid w:val="1A505049"/>
    <w:rsid w:val="1B676FF2"/>
    <w:rsid w:val="1BCC765F"/>
    <w:rsid w:val="1C326972"/>
    <w:rsid w:val="1C496E68"/>
    <w:rsid w:val="1C724C49"/>
    <w:rsid w:val="1CF52CD4"/>
    <w:rsid w:val="1E857077"/>
    <w:rsid w:val="1F95149F"/>
    <w:rsid w:val="204038CD"/>
    <w:rsid w:val="215C51AC"/>
    <w:rsid w:val="22A30143"/>
    <w:rsid w:val="23411F61"/>
    <w:rsid w:val="23E32EED"/>
    <w:rsid w:val="241272B1"/>
    <w:rsid w:val="25A124F0"/>
    <w:rsid w:val="26911877"/>
    <w:rsid w:val="26A40557"/>
    <w:rsid w:val="27453C2A"/>
    <w:rsid w:val="276F7EC0"/>
    <w:rsid w:val="277255C6"/>
    <w:rsid w:val="28033B5E"/>
    <w:rsid w:val="28D252DE"/>
    <w:rsid w:val="29793DBF"/>
    <w:rsid w:val="29977937"/>
    <w:rsid w:val="2B151B38"/>
    <w:rsid w:val="2C424529"/>
    <w:rsid w:val="2CB103B3"/>
    <w:rsid w:val="2D40293F"/>
    <w:rsid w:val="2D7B4196"/>
    <w:rsid w:val="2D850B71"/>
    <w:rsid w:val="2DD5659D"/>
    <w:rsid w:val="2FDB0F1C"/>
    <w:rsid w:val="30AD6B2B"/>
    <w:rsid w:val="312F4341"/>
    <w:rsid w:val="315006C5"/>
    <w:rsid w:val="32167F56"/>
    <w:rsid w:val="324A0D23"/>
    <w:rsid w:val="32D24C8B"/>
    <w:rsid w:val="32FFAEAE"/>
    <w:rsid w:val="32FFDE86"/>
    <w:rsid w:val="3366208C"/>
    <w:rsid w:val="3373540D"/>
    <w:rsid w:val="33AE7A02"/>
    <w:rsid w:val="33C63304"/>
    <w:rsid w:val="3428494C"/>
    <w:rsid w:val="34930017"/>
    <w:rsid w:val="3529272A"/>
    <w:rsid w:val="35FE42C7"/>
    <w:rsid w:val="36725530"/>
    <w:rsid w:val="369439B3"/>
    <w:rsid w:val="379F1E44"/>
    <w:rsid w:val="37B805A2"/>
    <w:rsid w:val="393A4F06"/>
    <w:rsid w:val="3A5F20C0"/>
    <w:rsid w:val="3A664085"/>
    <w:rsid w:val="3ABE5D1D"/>
    <w:rsid w:val="3B0009D5"/>
    <w:rsid w:val="3B0565E7"/>
    <w:rsid w:val="3B4958D4"/>
    <w:rsid w:val="3BDEFA3B"/>
    <w:rsid w:val="3DEDF417"/>
    <w:rsid w:val="3EF141B2"/>
    <w:rsid w:val="3F6F1681"/>
    <w:rsid w:val="400F4562"/>
    <w:rsid w:val="40DD105C"/>
    <w:rsid w:val="40F914BD"/>
    <w:rsid w:val="42CB3072"/>
    <w:rsid w:val="43222321"/>
    <w:rsid w:val="436526B2"/>
    <w:rsid w:val="447A23E8"/>
    <w:rsid w:val="44A01EF8"/>
    <w:rsid w:val="45C73FC5"/>
    <w:rsid w:val="46A86093"/>
    <w:rsid w:val="479934B5"/>
    <w:rsid w:val="490404DF"/>
    <w:rsid w:val="4A55789B"/>
    <w:rsid w:val="4B7D501F"/>
    <w:rsid w:val="4B831AED"/>
    <w:rsid w:val="4CA0731E"/>
    <w:rsid w:val="4D44042A"/>
    <w:rsid w:val="4DBD4437"/>
    <w:rsid w:val="4E7E71EB"/>
    <w:rsid w:val="4EC92B5C"/>
    <w:rsid w:val="4FF2273E"/>
    <w:rsid w:val="526B6D5E"/>
    <w:rsid w:val="53DF97AA"/>
    <w:rsid w:val="53FA7313"/>
    <w:rsid w:val="5515015F"/>
    <w:rsid w:val="551E1FFA"/>
    <w:rsid w:val="579EE63F"/>
    <w:rsid w:val="57B20596"/>
    <w:rsid w:val="580F0A9E"/>
    <w:rsid w:val="5AD01FCE"/>
    <w:rsid w:val="5CA06053"/>
    <w:rsid w:val="5D086F45"/>
    <w:rsid w:val="5DFB6FBD"/>
    <w:rsid w:val="5E5E4943"/>
    <w:rsid w:val="5E7861D3"/>
    <w:rsid w:val="5EDD4CF4"/>
    <w:rsid w:val="5F7FD505"/>
    <w:rsid w:val="5F8E0EB6"/>
    <w:rsid w:val="5F926F9A"/>
    <w:rsid w:val="607B0872"/>
    <w:rsid w:val="60B5753A"/>
    <w:rsid w:val="627B4938"/>
    <w:rsid w:val="62B30C99"/>
    <w:rsid w:val="637328CF"/>
    <w:rsid w:val="640B372B"/>
    <w:rsid w:val="64EE4C72"/>
    <w:rsid w:val="65472233"/>
    <w:rsid w:val="65775884"/>
    <w:rsid w:val="65CA38DD"/>
    <w:rsid w:val="66FC25F4"/>
    <w:rsid w:val="67527D5E"/>
    <w:rsid w:val="677B7CB5"/>
    <w:rsid w:val="679F2151"/>
    <w:rsid w:val="68750089"/>
    <w:rsid w:val="690E58E3"/>
    <w:rsid w:val="69B93927"/>
    <w:rsid w:val="6B810E3A"/>
    <w:rsid w:val="6D1A4ACE"/>
    <w:rsid w:val="6F5EA24B"/>
    <w:rsid w:val="6FDE5FEA"/>
    <w:rsid w:val="6FFB4FE1"/>
    <w:rsid w:val="70CD7E32"/>
    <w:rsid w:val="70F414C0"/>
    <w:rsid w:val="71A60683"/>
    <w:rsid w:val="723C0A79"/>
    <w:rsid w:val="72BDE8ED"/>
    <w:rsid w:val="734E2D80"/>
    <w:rsid w:val="736AEF2D"/>
    <w:rsid w:val="73DB2B8D"/>
    <w:rsid w:val="75EF6D37"/>
    <w:rsid w:val="76826AAD"/>
    <w:rsid w:val="76B9C2F7"/>
    <w:rsid w:val="77EF4470"/>
    <w:rsid w:val="77FDC6D5"/>
    <w:rsid w:val="787640B9"/>
    <w:rsid w:val="78F85C68"/>
    <w:rsid w:val="792C536E"/>
    <w:rsid w:val="798C63B0"/>
    <w:rsid w:val="79B219B2"/>
    <w:rsid w:val="7A4B0754"/>
    <w:rsid w:val="7A5C3FD5"/>
    <w:rsid w:val="7A601D17"/>
    <w:rsid w:val="7B575009"/>
    <w:rsid w:val="7BDF6C6B"/>
    <w:rsid w:val="7CFDD16C"/>
    <w:rsid w:val="7DC784CE"/>
    <w:rsid w:val="7E7F30B0"/>
    <w:rsid w:val="7EE10444"/>
    <w:rsid w:val="7F192494"/>
    <w:rsid w:val="7F76BB69"/>
    <w:rsid w:val="7F7EF3D5"/>
    <w:rsid w:val="7FFD204C"/>
    <w:rsid w:val="7FFD20FB"/>
    <w:rsid w:val="7FFEAD05"/>
    <w:rsid w:val="7FFF778E"/>
    <w:rsid w:val="9BAF6763"/>
    <w:rsid w:val="A5D5FE1B"/>
    <w:rsid w:val="AFDFA1CD"/>
    <w:rsid w:val="B7471CAD"/>
    <w:rsid w:val="BFEBC54E"/>
    <w:rsid w:val="BFF5C497"/>
    <w:rsid w:val="C17B1569"/>
    <w:rsid w:val="C7E5AB0C"/>
    <w:rsid w:val="D3FFCDAB"/>
    <w:rsid w:val="D7BCD8C5"/>
    <w:rsid w:val="DF0F1EF6"/>
    <w:rsid w:val="E3FFE0A5"/>
    <w:rsid w:val="EA5F3807"/>
    <w:rsid w:val="EBF75469"/>
    <w:rsid w:val="EDBE4094"/>
    <w:rsid w:val="EEF2BFB3"/>
    <w:rsid w:val="F2B3DC81"/>
    <w:rsid w:val="F5BE2D2C"/>
    <w:rsid w:val="F77EB633"/>
    <w:rsid w:val="F7D536CC"/>
    <w:rsid w:val="F9CB4AC5"/>
    <w:rsid w:val="F9FF9B5B"/>
    <w:rsid w:val="FBD92E35"/>
    <w:rsid w:val="FE9FCE0A"/>
    <w:rsid w:val="FEEE98FC"/>
    <w:rsid w:val="FF9C5AD7"/>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paragraph" w:styleId="13">
    <w:name w:val="List Paragraph"/>
    <w:basedOn w:val="1"/>
    <w:qFormat/>
    <w:uiPriority w:val="34"/>
    <w:pPr>
      <w:ind w:firstLine="420" w:firstLineChars="200"/>
    </w:pPr>
  </w:style>
  <w:style w:type="paragraph" w:customStyle="1" w:styleId="14">
    <w:name w:val="Table Text"/>
    <w:basedOn w:val="1"/>
    <w:semiHidden/>
    <w:qFormat/>
    <w:uiPriority w:val="0"/>
    <w:rPr>
      <w:rFonts w:ascii="宋体" w:hAnsi="宋体" w:eastAsia="宋体" w:cs="宋体"/>
      <w:sz w:val="23"/>
      <w:szCs w:val="23"/>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8197</Words>
  <Characters>8394</Characters>
  <Lines>0</Lines>
  <Paragraphs>0</Paragraphs>
  <TotalTime>13</TotalTime>
  <ScaleCrop>false</ScaleCrop>
  <LinksUpToDate>false</LinksUpToDate>
  <CharactersWithSpaces>8448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2022-10-21T16:00:00Z</dcterms:created>
  <dc:creator>刀&amp;九</dc:creator>
  <cp:lastModifiedBy>殷殷心语</cp:lastModifiedBy>
  <dcterms:modified xsi:type="dcterms:W3CDTF">2026-03-11T02:43:23Z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7CB2AE71655E46F2AE3C2CFB0124CDB6_13</vt:lpwstr>
  </property>
  <property fmtid="{D5CDD505-2E9C-101B-9397-08002B2CF9AE}" pid="4" name="KSOTemplateDocerSaveRecord">
    <vt:lpwstr>eyJoZGlkIjoiMzEwNTM5NzYwMDRjMzkwZTVkZjY2ODkwMGIxNGU0OTUiLCJ1c2VySWQiOiIyMjY3MTU0MDYifQ==</vt:lpwstr>
  </property>
</Properties>
</file>