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D0D" w:rsidRDefault="00C12793">
      <w:pPr>
        <w:pStyle w:val="1"/>
        <w:spacing w:beforeAutospacing="0" w:afterAutospacing="0"/>
        <w:rPr>
          <w:rFonts w:asciiTheme="minorHAnsi" w:eastAsiaTheme="minorEastAsia" w:hAnsiTheme="minorHAnsi" w:hint="default"/>
        </w:rPr>
      </w:pPr>
      <w:r>
        <w:rPr>
          <w:rFonts w:ascii="Times New Roman" w:eastAsia="黑体" w:hAnsi="Times New Roman" w:hint="default"/>
          <w:b w:val="0"/>
          <w:sz w:val="32"/>
        </w:rPr>
        <w:t>附件</w:t>
      </w:r>
      <w:r>
        <w:rPr>
          <w:rFonts w:ascii="Times New Roman" w:eastAsia="黑体" w:hAnsi="Times New Roman"/>
          <w:b w:val="0"/>
          <w:sz w:val="32"/>
        </w:rPr>
        <w:t>1</w:t>
      </w:r>
    </w:p>
    <w:p w:rsidR="00E37D0D" w:rsidRPr="00BB4756" w:rsidRDefault="00C12793">
      <w:pPr>
        <w:spacing w:line="480" w:lineRule="auto"/>
        <w:jc w:val="center"/>
        <w:rPr>
          <w:rFonts w:asciiTheme="majorEastAsia" w:eastAsiaTheme="majorEastAsia" w:hAnsiTheme="majorEastAsia"/>
          <w:kern w:val="0"/>
          <w:sz w:val="36"/>
          <w:szCs w:val="36"/>
        </w:rPr>
      </w:pPr>
      <w:r w:rsidRPr="00BB4756">
        <w:rPr>
          <w:rFonts w:asciiTheme="majorEastAsia" w:eastAsiaTheme="majorEastAsia" w:hAnsiTheme="majorEastAsia" w:hint="eastAsia"/>
          <w:kern w:val="0"/>
          <w:sz w:val="36"/>
          <w:szCs w:val="36"/>
        </w:rPr>
        <w:t>江苏城市职业学院常州办学点</w:t>
      </w:r>
    </w:p>
    <w:p w:rsidR="00E37D0D" w:rsidRPr="00BB4756" w:rsidRDefault="00C12793">
      <w:pPr>
        <w:spacing w:line="480" w:lineRule="auto"/>
        <w:jc w:val="center"/>
        <w:rPr>
          <w:rFonts w:ascii="Times New Roman" w:eastAsia="方正小标宋简体" w:hAnsi="Times New Roman"/>
          <w:kern w:val="0"/>
          <w:sz w:val="36"/>
          <w:szCs w:val="36"/>
        </w:rPr>
      </w:pPr>
      <w:r w:rsidRPr="00BB4756">
        <w:rPr>
          <w:rFonts w:asciiTheme="majorEastAsia" w:eastAsiaTheme="majorEastAsia" w:hAnsiTheme="majorEastAsia" w:hint="eastAsia"/>
          <w:kern w:val="0"/>
          <w:sz w:val="36"/>
          <w:szCs w:val="36"/>
        </w:rPr>
        <w:t>在线精品课程建设标准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1329"/>
        <w:gridCol w:w="5911"/>
      </w:tblGrid>
      <w:tr w:rsidR="00E37D0D">
        <w:trPr>
          <w:trHeight w:val="472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黑体" w:hAnsi="Times New Roman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kern w:val="0"/>
                <w:szCs w:val="21"/>
              </w:rPr>
              <w:t>一级指标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黑体" w:hAnsi="Times New Roman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kern w:val="0"/>
                <w:szCs w:val="21"/>
              </w:rPr>
              <w:t>二级指标</w:t>
            </w:r>
          </w:p>
        </w:tc>
        <w:tc>
          <w:tcPr>
            <w:tcW w:w="5911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黑体" w:hAnsi="Times New Roman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kern w:val="0"/>
                <w:szCs w:val="21"/>
              </w:rPr>
              <w:t>观测点及要求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授课教师团队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团队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构成与要求</w:t>
            </w:r>
          </w:p>
        </w:tc>
        <w:tc>
          <w:tcPr>
            <w:tcW w:w="5911" w:type="dxa"/>
            <w:shd w:val="clear" w:color="auto" w:fill="auto"/>
            <w:vAlign w:val="center"/>
          </w:tcPr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团队结构合理，师德师风优良，教学表现力和亲和力强，教学成果积累丰富，教学改革意识强，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数字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素养高。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2.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课程负责人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原则上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应具有副高级及以上职称，具有丰富的教学经验和扎实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的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专业功底，在本专业领域具有一定影响力，同一课程负责人限牵头申报</w:t>
            </w:r>
            <w:bookmarkStart w:id="0" w:name="_GoBack"/>
            <w:bookmarkEnd w:id="0"/>
            <w:r>
              <w:rPr>
                <w:rFonts w:ascii="Times New Roman" w:eastAsia="仿宋" w:hAnsi="Times New Roman"/>
                <w:kern w:val="0"/>
                <w:szCs w:val="21"/>
              </w:rPr>
              <w:t>一门课程。专业课团队主要成员中应有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“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双师型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”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教师。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3.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专业课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“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双师型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”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教师及行业企业兼职教师各具特色，团队主要成员须与课程平台显示人员基本一致，配备必要的助理教师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/>
            <w:shd w:val="clear" w:color="auto" w:fill="auto"/>
            <w:vAlign w:val="center"/>
          </w:tcPr>
          <w:p w:rsidR="00E37D0D" w:rsidRDefault="00E37D0D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团队教学与建设</w:t>
            </w:r>
          </w:p>
        </w:tc>
        <w:tc>
          <w:tcPr>
            <w:tcW w:w="5911" w:type="dxa"/>
            <w:shd w:val="clear" w:color="auto" w:fill="auto"/>
            <w:vAlign w:val="center"/>
          </w:tcPr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1.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团队拥有丰富教学经验，开展有关教学研究。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2.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团队教学能力突出、教学成果显著，获得有关教学奖励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课程设计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课程定位与目标</w:t>
            </w:r>
          </w:p>
        </w:tc>
        <w:tc>
          <w:tcPr>
            <w:tcW w:w="5911" w:type="dxa"/>
            <w:shd w:val="clear" w:color="auto" w:fill="auto"/>
            <w:vAlign w:val="center"/>
          </w:tcPr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</w:rPr>
            </w:pPr>
            <w:r>
              <w:rPr>
                <w:rFonts w:ascii="Times New Roman" w:eastAsia="仿宋" w:hAnsi="Times New Roman"/>
                <w:kern w:val="0"/>
              </w:rPr>
              <w:t>1.</w:t>
            </w:r>
            <w:r>
              <w:rPr>
                <w:rFonts w:ascii="Times New Roman" w:eastAsia="仿宋" w:hAnsi="Times New Roman"/>
                <w:kern w:val="0"/>
              </w:rPr>
              <w:t>落实立德树人根本任务，符合</w:t>
            </w:r>
            <w:r>
              <w:rPr>
                <w:rFonts w:ascii="Times New Roman" w:eastAsia="仿宋" w:hAnsi="Times New Roman"/>
                <w:kern w:val="0"/>
              </w:rPr>
              <w:t>相关</w:t>
            </w:r>
            <w:r>
              <w:rPr>
                <w:rFonts w:ascii="Times New Roman" w:eastAsia="仿宋" w:hAnsi="Times New Roman"/>
                <w:kern w:val="0"/>
              </w:rPr>
              <w:t>职业教育国家</w:t>
            </w:r>
            <w:r>
              <w:rPr>
                <w:rFonts w:ascii="Times New Roman" w:eastAsia="仿宋" w:hAnsi="Times New Roman"/>
                <w:kern w:val="0"/>
              </w:rPr>
              <w:t>教学标准</w:t>
            </w:r>
            <w:r>
              <w:rPr>
                <w:rFonts w:ascii="Times New Roman" w:eastAsia="仿宋" w:hAnsi="Times New Roman"/>
                <w:kern w:val="0"/>
              </w:rPr>
              <w:t>、</w:t>
            </w:r>
            <w:r>
              <w:rPr>
                <w:rFonts w:ascii="Times New Roman" w:eastAsia="仿宋" w:hAnsi="Times New Roman"/>
                <w:kern w:val="0"/>
              </w:rPr>
              <w:t>人才培养方案</w:t>
            </w:r>
            <w:r>
              <w:rPr>
                <w:rFonts w:ascii="Times New Roman" w:eastAsia="仿宋" w:hAnsi="Times New Roman"/>
                <w:kern w:val="0"/>
              </w:rPr>
              <w:t>、</w:t>
            </w:r>
            <w:r>
              <w:rPr>
                <w:rFonts w:ascii="Times New Roman" w:eastAsia="仿宋" w:hAnsi="Times New Roman"/>
                <w:kern w:val="0"/>
              </w:rPr>
              <w:t>课程标准要求</w:t>
            </w:r>
            <w:r>
              <w:rPr>
                <w:rFonts w:ascii="Times New Roman" w:eastAsia="仿宋" w:hAnsi="Times New Roman"/>
                <w:kern w:val="0"/>
              </w:rPr>
              <w:t>，课程性质明确，与前、后接续课程衔接得当。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</w:rPr>
            </w:pPr>
            <w:r>
              <w:rPr>
                <w:rFonts w:ascii="Times New Roman" w:eastAsia="仿宋" w:hAnsi="Times New Roman"/>
                <w:kern w:val="0"/>
              </w:rPr>
              <w:t>2.</w:t>
            </w:r>
            <w:r>
              <w:rPr>
                <w:rFonts w:ascii="Times New Roman" w:eastAsia="仿宋" w:hAnsi="Times New Roman"/>
                <w:kern w:val="0"/>
              </w:rPr>
              <w:t>课程目标定位准确、条目清晰、内容具体、可评可测。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</w:rPr>
            </w:pPr>
            <w:r>
              <w:rPr>
                <w:rFonts w:ascii="Times New Roman" w:eastAsia="仿宋" w:hAnsi="Times New Roman"/>
                <w:kern w:val="0"/>
              </w:rPr>
              <w:t>3.</w:t>
            </w:r>
            <w:r>
              <w:rPr>
                <w:rFonts w:ascii="Times New Roman" w:eastAsia="仿宋" w:hAnsi="Times New Roman"/>
                <w:kern w:val="0"/>
              </w:rPr>
              <w:t>公共基础课程注重打好科学文化基础、培养学生思想政治素质、学科核心素养；专业（技能）课程注重提升专业能力、掌握专业技能，培养学生职业道德、综合素养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/>
            <w:shd w:val="clear" w:color="auto" w:fill="auto"/>
            <w:vAlign w:val="center"/>
          </w:tcPr>
          <w:p w:rsidR="00E37D0D" w:rsidRDefault="00E37D0D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课程结构与内容</w:t>
            </w:r>
          </w:p>
        </w:tc>
        <w:tc>
          <w:tcPr>
            <w:tcW w:w="5911" w:type="dxa"/>
            <w:vAlign w:val="center"/>
          </w:tcPr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</w:rPr>
            </w:pPr>
            <w:r>
              <w:rPr>
                <w:rFonts w:ascii="Times New Roman" w:eastAsia="仿宋" w:hAnsi="Times New Roman"/>
                <w:kern w:val="0"/>
              </w:rPr>
              <w:t>1.</w:t>
            </w:r>
            <w:r>
              <w:rPr>
                <w:rFonts w:ascii="Times New Roman" w:eastAsia="仿宋" w:hAnsi="Times New Roman"/>
                <w:kern w:val="0"/>
              </w:rPr>
              <w:t>课程内容组织与安排凸显职业教育类型特征，公共基础课程内容及时反映新知识，体现学科知识与行业（或职业）应用场景的融合</w:t>
            </w:r>
            <w:r>
              <w:rPr>
                <w:rFonts w:ascii="Times New Roman" w:eastAsia="仿宋" w:hAnsi="Times New Roman"/>
                <w:kern w:val="0"/>
              </w:rPr>
              <w:t>；</w:t>
            </w:r>
            <w:r>
              <w:rPr>
                <w:rFonts w:ascii="Times New Roman" w:eastAsia="仿宋" w:hAnsi="Times New Roman"/>
                <w:kern w:val="0"/>
              </w:rPr>
              <w:t>专业（技能）课程对接新产业、新业态、新模式、新职业，反映相关领域新方法、新技术、新工艺、新标准，体现行业企业参与特征，紧贴本专业相关技术领域职业岗位（群）的能力要求。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</w:rPr>
            </w:pPr>
            <w:r>
              <w:rPr>
                <w:rFonts w:ascii="Times New Roman" w:eastAsia="仿宋" w:hAnsi="Times New Roman"/>
                <w:kern w:val="0"/>
              </w:rPr>
              <w:t>2.</w:t>
            </w:r>
            <w:r>
              <w:rPr>
                <w:rFonts w:ascii="Times New Roman" w:eastAsia="仿宋" w:hAnsi="Times New Roman"/>
                <w:kern w:val="0"/>
              </w:rPr>
              <w:t>落实课程思政要求，结合不同课程特点、思维方法和价值理念，挖掘</w:t>
            </w:r>
            <w:proofErr w:type="gramStart"/>
            <w:r>
              <w:rPr>
                <w:rFonts w:ascii="Times New Roman" w:eastAsia="仿宋" w:hAnsi="Times New Roman"/>
                <w:kern w:val="0"/>
              </w:rPr>
              <w:t>课程思政元素</w:t>
            </w:r>
            <w:proofErr w:type="gramEnd"/>
            <w:r>
              <w:rPr>
                <w:rFonts w:ascii="Times New Roman" w:eastAsia="仿宋" w:hAnsi="Times New Roman"/>
                <w:kern w:val="0"/>
              </w:rPr>
              <w:t>，有机融入课程</w:t>
            </w:r>
            <w:r>
              <w:rPr>
                <w:rFonts w:ascii="Times New Roman" w:eastAsia="仿宋" w:hAnsi="Times New Roman" w:hint="eastAsia"/>
                <w:kern w:val="0"/>
              </w:rPr>
              <w:t>教学</w:t>
            </w:r>
            <w:r>
              <w:rPr>
                <w:rFonts w:ascii="Times New Roman" w:eastAsia="仿宋" w:hAnsi="Times New Roman"/>
                <w:kern w:val="0"/>
              </w:rPr>
              <w:t>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</w:rPr>
            </w:pPr>
            <w:r>
              <w:rPr>
                <w:rFonts w:ascii="Times New Roman" w:eastAsia="仿宋" w:hAnsi="Times New Roman"/>
                <w:kern w:val="0"/>
              </w:rPr>
              <w:t>3.</w:t>
            </w:r>
            <w:r>
              <w:rPr>
                <w:rFonts w:ascii="Times New Roman" w:eastAsia="仿宋" w:hAnsi="Times New Roman"/>
                <w:kern w:val="0"/>
              </w:rPr>
              <w:t>课程内容完整、结构合理、逻辑清晰，学习单元划分合理、衔接有序、教学学时分配合理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 w:rsidR="00E37D0D" w:rsidRDefault="00C12793">
            <w:pPr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课程建设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基本信息与规范</w:t>
            </w:r>
          </w:p>
        </w:tc>
        <w:tc>
          <w:tcPr>
            <w:tcW w:w="5911" w:type="dxa"/>
            <w:vAlign w:val="center"/>
          </w:tcPr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课程</w:t>
            </w:r>
            <w:r>
              <w:rPr>
                <w:rFonts w:ascii="Times New Roman" w:eastAsia="仿宋" w:hAnsi="Times New Roman"/>
                <w:kern w:val="0"/>
              </w:rPr>
              <w:t>基本信息完整，课程页面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应包括课程介绍、</w:t>
            </w:r>
            <w:r>
              <w:rPr>
                <w:rFonts w:ascii="Times New Roman" w:eastAsia="仿宋" w:hAnsi="Times New Roman"/>
                <w:kern w:val="0"/>
              </w:rPr>
              <w:t>教学团队、教材</w:t>
            </w:r>
            <w:r>
              <w:rPr>
                <w:rFonts w:ascii="Times New Roman" w:eastAsia="仿宋" w:hAnsi="Times New Roman"/>
                <w:kern w:val="0"/>
              </w:rPr>
              <w:t>选用情况</w:t>
            </w:r>
            <w:r>
              <w:rPr>
                <w:rFonts w:ascii="Times New Roman" w:eastAsia="仿宋" w:hAnsi="Times New Roman"/>
                <w:kern w:val="0"/>
              </w:rPr>
              <w:t>、</w:t>
            </w:r>
            <w:r>
              <w:rPr>
                <w:rFonts w:ascii="Times New Roman" w:eastAsia="仿宋" w:hAnsi="Times New Roman"/>
                <w:kern w:val="0"/>
              </w:rPr>
              <w:t>相关辅助学习材料、</w:t>
            </w:r>
            <w:r>
              <w:rPr>
                <w:rFonts w:ascii="Times New Roman" w:eastAsia="仿宋" w:hAnsi="Times New Roman"/>
                <w:kern w:val="0"/>
              </w:rPr>
              <w:t>相关职业类证书等信息。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2.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课程页面布局合理、信息量适度、色彩搭配协调。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3.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导航清晰明确，符号规范。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4.</w:t>
            </w:r>
            <w:r>
              <w:rPr>
                <w:rFonts w:ascii="Times New Roman" w:eastAsia="仿宋" w:hAnsi="Times New Roman" w:cs="仿宋_GB2312" w:hint="eastAsia"/>
                <w:kern w:val="0"/>
                <w:szCs w:val="21"/>
              </w:rPr>
              <w:t>语言文字、图片、地图等使用符合相关规定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/>
            <w:shd w:val="clear" w:color="auto" w:fill="auto"/>
            <w:vAlign w:val="center"/>
          </w:tcPr>
          <w:p w:rsidR="00E37D0D" w:rsidRDefault="00E37D0D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  <w:highlight w:val="yellow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资源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建设与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应用</w:t>
            </w:r>
          </w:p>
        </w:tc>
        <w:tc>
          <w:tcPr>
            <w:tcW w:w="5911" w:type="dxa"/>
            <w:vAlign w:val="center"/>
          </w:tcPr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课程资源以自主设计与开发为主，与课程内容相匹配、全覆盖，内在逻辑合理、内容完整精炼，能够满足学校教学和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学生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学习需求，做到能学辅教；体现</w:t>
            </w:r>
            <w:proofErr w:type="gramStart"/>
            <w:r>
              <w:rPr>
                <w:rFonts w:ascii="Times New Roman" w:eastAsia="仿宋" w:hAnsi="Times New Roman"/>
                <w:kern w:val="0"/>
                <w:szCs w:val="21"/>
              </w:rPr>
              <w:t>课程思政建设</w:t>
            </w:r>
            <w:proofErr w:type="gramEnd"/>
            <w:r>
              <w:rPr>
                <w:rFonts w:ascii="Times New Roman" w:eastAsia="仿宋" w:hAnsi="Times New Roman"/>
                <w:kern w:val="0"/>
                <w:szCs w:val="21"/>
              </w:rPr>
              <w:t>要求，体现行业发展的前沿技术和最新成果。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lastRenderedPageBreak/>
              <w:t>2.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课程内容丰富、形式多样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、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原创度高、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质量精良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、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符合大众审美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，针对各模块知识点或技能点设置对应的授课视频、动画、虚拟仿真、演示文稿等教学资源和测验、作业、考试等教学活动。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3.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科学规划在线学习资源，动画、视频、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音频、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虚拟仿真等类型资源一般不少于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30%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/>
            <w:shd w:val="clear" w:color="auto" w:fill="auto"/>
            <w:vAlign w:val="center"/>
          </w:tcPr>
          <w:p w:rsidR="00E37D0D" w:rsidRDefault="00E37D0D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课程管理与保障</w:t>
            </w:r>
          </w:p>
        </w:tc>
        <w:tc>
          <w:tcPr>
            <w:tcW w:w="5911" w:type="dxa"/>
            <w:vAlign w:val="center"/>
          </w:tcPr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学校在线课程管理制度和机构健全，对课程选用、教学、评价、督导和学分认定等进行规范，做到线上与线下课程教学同管理、同要求，有支持在线课程建设和实施的激励制度，提供人员、经费等保障。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2.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重视知识产权等问题，与院校、企业、团队合作签署的知识产权保障协议（或书面约定）规范严谨、平等互利。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3.</w:t>
            </w:r>
            <w:r>
              <w:rPr>
                <w:rFonts w:ascii="Times New Roman" w:eastAsia="仿宋" w:hAnsi="Times New Roman"/>
                <w:kern w:val="0"/>
              </w:rPr>
              <w:t>教材选用</w:t>
            </w:r>
            <w:r>
              <w:rPr>
                <w:rFonts w:ascii="Times New Roman" w:eastAsia="仿宋" w:hAnsi="Times New Roman"/>
                <w:kern w:val="0"/>
              </w:rPr>
              <w:t>规范</w:t>
            </w:r>
            <w:r>
              <w:rPr>
                <w:rFonts w:ascii="Times New Roman" w:eastAsia="仿宋" w:hAnsi="Times New Roman"/>
                <w:kern w:val="0"/>
              </w:rPr>
              <w:t>合理，符合有关规定。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引用资源规范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科学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，符合教学需求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 w:rsidR="00E37D0D" w:rsidRDefault="00C12793">
            <w:pPr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课程实施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教学组织与安排</w:t>
            </w:r>
          </w:p>
        </w:tc>
        <w:tc>
          <w:tcPr>
            <w:tcW w:w="5911" w:type="dxa"/>
            <w:shd w:val="clear" w:color="auto" w:fill="auto"/>
          </w:tcPr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围绕学习任务，细化具体教学目标，合理把握教学进度、组织具体教学。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2.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教学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设计科学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，恰当进行课程导入，课程重点难点讲授准确全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面，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方法恰当，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合理使用案例式、探究式等多种教学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方法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3.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出</w:t>
            </w:r>
            <w:proofErr w:type="gramStart"/>
            <w:r>
              <w:rPr>
                <w:rFonts w:ascii="Times New Roman" w:eastAsia="仿宋" w:hAnsi="Times New Roman"/>
                <w:kern w:val="0"/>
                <w:szCs w:val="21"/>
              </w:rPr>
              <w:t>镜教师</w:t>
            </w:r>
            <w:proofErr w:type="gramEnd"/>
            <w:r>
              <w:rPr>
                <w:rFonts w:ascii="Times New Roman" w:eastAsia="仿宋" w:hAnsi="Times New Roman"/>
                <w:kern w:val="0"/>
                <w:szCs w:val="21"/>
              </w:rPr>
              <w:t>教学过程中教</w:t>
            </w:r>
            <w:proofErr w:type="gramStart"/>
            <w:r>
              <w:rPr>
                <w:rFonts w:ascii="Times New Roman" w:eastAsia="仿宋" w:hAnsi="Times New Roman"/>
                <w:kern w:val="0"/>
                <w:szCs w:val="21"/>
              </w:rPr>
              <w:t>仪教态自然</w:t>
            </w:r>
            <w:proofErr w:type="gramEnd"/>
            <w:r>
              <w:rPr>
                <w:rFonts w:ascii="Times New Roman" w:eastAsia="仿宋" w:hAnsi="Times New Roman"/>
                <w:kern w:val="0"/>
                <w:szCs w:val="21"/>
              </w:rPr>
              <w:t>大方，语言表达清晰、深入浅出，注重教学互动、激发学生学习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主动性、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积极性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/>
            <w:shd w:val="clear" w:color="auto" w:fill="auto"/>
            <w:vAlign w:val="center"/>
          </w:tcPr>
          <w:p w:rsidR="00E37D0D" w:rsidRDefault="00E37D0D">
            <w:pPr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教学活动与过程</w:t>
            </w:r>
          </w:p>
        </w:tc>
        <w:tc>
          <w:tcPr>
            <w:tcW w:w="5911" w:type="dxa"/>
            <w:shd w:val="clear" w:color="auto" w:fill="auto"/>
          </w:tcPr>
          <w:p w:rsidR="00E37D0D" w:rsidRDefault="00C12793">
            <w:pPr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各项教学活动完整、有效，教学过程可回溯，关注教与学全过程的信息采集，教学过程材料完整。</w:t>
            </w:r>
          </w:p>
          <w:p w:rsidR="00E37D0D" w:rsidRDefault="00C12793">
            <w:pPr>
              <w:widowControl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2.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合理使用信息技术手段创新教学模式，教学过程突出学生中心，适合在线学习或混合式教学，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体现行动导向教学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，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能够激发学生学习兴趣和潜能。</w:t>
            </w:r>
          </w:p>
          <w:p w:rsidR="00E37D0D" w:rsidRDefault="00C12793">
            <w:pPr>
              <w:widowControl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3.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提供在线测试、即时在线反馈、作业提交和批改、网上社区讨论等学习支持服务，促进师生之间、学生之间进行资源共享、问题交流和协作学习，实现师生、生生的深度有效互动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/>
            <w:shd w:val="clear" w:color="auto" w:fill="auto"/>
            <w:vAlign w:val="center"/>
          </w:tcPr>
          <w:p w:rsidR="00E37D0D" w:rsidRDefault="00E37D0D">
            <w:pPr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学习考核与评价</w:t>
            </w:r>
          </w:p>
        </w:tc>
        <w:tc>
          <w:tcPr>
            <w:tcW w:w="5911" w:type="dxa"/>
            <w:shd w:val="clear" w:color="auto" w:fill="auto"/>
          </w:tcPr>
          <w:p w:rsidR="00E37D0D" w:rsidRDefault="00C12793">
            <w:pPr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建立多元化学习评价体系，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包括但不限于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结果评价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过程评价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增值评价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综合评价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等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。</w:t>
            </w:r>
          </w:p>
          <w:p w:rsidR="00E37D0D" w:rsidRDefault="00C12793">
            <w:pPr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2.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探索基于大数据的信息采集分析，全程记录和跟踪教师的教学和学生学习过程，形成教与学的正向反馈。</w:t>
            </w:r>
          </w:p>
          <w:p w:rsidR="00E37D0D" w:rsidRDefault="00C12793">
            <w:pPr>
              <w:numPr>
                <w:ilvl w:val="255"/>
                <w:numId w:val="0"/>
              </w:numPr>
              <w:rPr>
                <w:rFonts w:ascii="Times New Roman" w:eastAsia="仿宋" w:hAnsi="Times New Roman"/>
                <w:bCs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3.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课程建设过程中，不断完善课程考核评价机制，有效反思课程建设经验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，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及时修正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不足，教学诊断改进积极有效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应用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效果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教学效果与反馈</w:t>
            </w:r>
          </w:p>
        </w:tc>
        <w:tc>
          <w:tcPr>
            <w:tcW w:w="5911" w:type="dxa"/>
            <w:vAlign w:val="center"/>
          </w:tcPr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1.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学生适应在线学习方式，可以有效开展个性化学习与合作学习，对课程的参与度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高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、学习获得感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强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，学习效果好。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2.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教师具有较强的信息化教学能力，教学团队配合默契，带动其他教育教学改革取得实质性成果。</w:t>
            </w:r>
          </w:p>
          <w:p w:rsidR="00E37D0D" w:rsidRDefault="00C12793">
            <w:pPr>
              <w:pStyle w:val="ad"/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3.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学生对教师教学以及课程的满意度较高</w:t>
            </w:r>
          </w:p>
        </w:tc>
      </w:tr>
      <w:tr w:rsidR="00E37D0D">
        <w:trPr>
          <w:trHeight w:val="560"/>
          <w:jc w:val="center"/>
        </w:trPr>
        <w:tc>
          <w:tcPr>
            <w:tcW w:w="1119" w:type="dxa"/>
            <w:vMerge/>
            <w:shd w:val="clear" w:color="auto" w:fill="auto"/>
            <w:vAlign w:val="center"/>
          </w:tcPr>
          <w:p w:rsidR="00E37D0D" w:rsidRDefault="00E37D0D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技术支持与服务</w:t>
            </w:r>
          </w:p>
        </w:tc>
        <w:tc>
          <w:tcPr>
            <w:tcW w:w="5911" w:type="dxa"/>
            <w:vAlign w:val="center"/>
          </w:tcPr>
          <w:p w:rsidR="00E37D0D" w:rsidRDefault="00C12793">
            <w:pPr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1.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各类教学资源应用充分，活跃用户数占课程注册使用人数的比例较高。</w:t>
            </w:r>
          </w:p>
          <w:p w:rsidR="00E37D0D" w:rsidRDefault="00C12793">
            <w:pPr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2.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在线课程教学管理责任有效落实，有效防范在线刷课、替课、刷考、替考行为。</w:t>
            </w:r>
          </w:p>
          <w:p w:rsidR="00E37D0D" w:rsidRDefault="00C12793">
            <w:pPr>
              <w:widowControl/>
              <w:numPr>
                <w:ilvl w:val="255"/>
                <w:numId w:val="0"/>
              </w:numPr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3.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课程平台能够保障信息安全，能够在多种终端上运行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，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同时</w:t>
            </w:r>
            <w:r>
              <w:rPr>
                <w:rFonts w:ascii="Times New Roman" w:eastAsia="仿宋" w:hAnsi="Times New Roman"/>
                <w:kern w:val="0"/>
                <w:szCs w:val="21"/>
              </w:rPr>
              <w:lastRenderedPageBreak/>
              <w:t>满足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提供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开放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用户身份数据、课程访问数据、学习行为数据以及相关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运行数据等监管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要求</w:t>
            </w:r>
          </w:p>
        </w:tc>
      </w:tr>
      <w:tr w:rsidR="00E37D0D">
        <w:trPr>
          <w:trHeight w:val="574"/>
          <w:jc w:val="center"/>
        </w:trPr>
        <w:tc>
          <w:tcPr>
            <w:tcW w:w="1119" w:type="dxa"/>
            <w:vMerge/>
            <w:shd w:val="clear" w:color="auto" w:fill="auto"/>
            <w:vAlign w:val="center"/>
          </w:tcPr>
          <w:p w:rsidR="00E37D0D" w:rsidRDefault="00E37D0D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课程示范与引领</w:t>
            </w:r>
          </w:p>
        </w:tc>
        <w:tc>
          <w:tcPr>
            <w:tcW w:w="5911" w:type="dxa"/>
          </w:tcPr>
          <w:p w:rsidR="00E37D0D" w:rsidRDefault="00C12793">
            <w:pPr>
              <w:widowControl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1.</w:t>
            </w:r>
            <w:r>
              <w:rPr>
                <w:rFonts w:ascii="Times New Roman" w:eastAsia="仿宋" w:hAnsi="Times New Roman"/>
                <w:szCs w:val="21"/>
              </w:rPr>
              <w:t>在教学和课程改革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方面与同类课程相比优势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明显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，具有推广价值。</w:t>
            </w:r>
          </w:p>
          <w:p w:rsidR="00E37D0D" w:rsidRDefault="00C12793">
            <w:pPr>
              <w:widowControl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2.</w:t>
            </w:r>
            <w:r>
              <w:rPr>
                <w:rFonts w:ascii="Times New Roman" w:eastAsia="仿宋" w:hAnsi="Times New Roman"/>
                <w:szCs w:val="21"/>
              </w:rPr>
              <w:t>面向其他院校学生、企业员工和社会学习者开放学习，可供其他院校教师教学引用，用户使用活跃度高，应用效果良好、社会影响力大，认可度高</w:t>
            </w:r>
          </w:p>
        </w:tc>
      </w:tr>
      <w:tr w:rsidR="00E37D0D">
        <w:trPr>
          <w:trHeight w:val="90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E37D0D" w:rsidRDefault="00C12793">
            <w:pPr>
              <w:widowControl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 w:hint="eastAsia"/>
                <w:kern w:val="0"/>
                <w:szCs w:val="21"/>
              </w:rPr>
              <w:t>课程创新</w:t>
            </w:r>
          </w:p>
        </w:tc>
        <w:tc>
          <w:tcPr>
            <w:tcW w:w="7240" w:type="dxa"/>
            <w:gridSpan w:val="2"/>
            <w:shd w:val="clear" w:color="auto" w:fill="auto"/>
            <w:vAlign w:val="center"/>
          </w:tcPr>
          <w:p w:rsidR="00E37D0D" w:rsidRDefault="00C12793">
            <w:pPr>
              <w:widowControl/>
              <w:jc w:val="left"/>
              <w:rPr>
                <w:rFonts w:ascii="Times New Roman" w:eastAsia="仿宋" w:hAnsi="Times New Roman"/>
                <w:kern w:val="0"/>
                <w:szCs w:val="21"/>
              </w:rPr>
            </w:pPr>
            <w:r>
              <w:rPr>
                <w:rFonts w:ascii="Times New Roman" w:eastAsia="仿宋" w:hAnsi="Times New Roman"/>
                <w:kern w:val="0"/>
                <w:szCs w:val="21"/>
              </w:rPr>
              <w:t>充分彰显职业教育类型特征，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体现专业数字化转型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新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要求，能够较好解决职业教育教学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痛点难点问题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。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课程与教学改革理念具有原创性、教学实践效果显著，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在落实课程思政、优化教学内容、创新教学模式、改进教学评价、运用信息技术等方面创新明显</w:t>
            </w:r>
            <w:r>
              <w:rPr>
                <w:rFonts w:ascii="Times New Roman" w:eastAsia="仿宋" w:hAnsi="Times New Roman" w:hint="eastAsia"/>
                <w:kern w:val="0"/>
                <w:szCs w:val="21"/>
              </w:rPr>
              <w:t>。</w:t>
            </w:r>
            <w:r>
              <w:rPr>
                <w:rFonts w:ascii="Times New Roman" w:eastAsia="仿宋" w:hAnsi="Times New Roman"/>
                <w:kern w:val="0"/>
                <w:szCs w:val="21"/>
              </w:rPr>
              <w:t>能够提供双语教学资源、进行双语教学等</w:t>
            </w:r>
          </w:p>
        </w:tc>
      </w:tr>
    </w:tbl>
    <w:p w:rsidR="00E37D0D" w:rsidRDefault="00E37D0D">
      <w:pPr>
        <w:rPr>
          <w:rFonts w:ascii="Times New Roman" w:hAnsi="Times New Roman"/>
          <w:sz w:val="32"/>
          <w:szCs w:val="32"/>
        </w:rPr>
      </w:pPr>
    </w:p>
    <w:sectPr w:rsidR="00E37D0D">
      <w:headerReference w:type="default" r:id="rId8"/>
      <w:footerReference w:type="default" r:id="rId9"/>
      <w:pgSz w:w="11906" w:h="16838"/>
      <w:pgMar w:top="1440" w:right="1800" w:bottom="1440" w:left="1800" w:header="851" w:footer="850" w:gutter="0"/>
      <w:pgNumType w:fmt="numberInDash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793" w:rsidRDefault="00C12793">
      <w:r>
        <w:separator/>
      </w:r>
    </w:p>
  </w:endnote>
  <w:endnote w:type="continuationSeparator" w:id="0">
    <w:p w:rsidR="00C12793" w:rsidRDefault="00C1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732C8FA8-0612-4F17-9CC0-07ADA752B9DB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B67B64E-CE56-448D-936C-9700BC375455}"/>
  </w:font>
  <w:font w:name="方正小标宋简体"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6CB6202E-D0C6-4B79-A584-3531C937C082}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D0D" w:rsidRDefault="00C1279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37D0D" w:rsidRDefault="00C12793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B4756">
                            <w:rPr>
                              <w:noProof/>
                            </w:rPr>
                            <w:t>- 3 -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37D0D" w:rsidRDefault="00C12793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B4756">
                      <w:rPr>
                        <w:noProof/>
                      </w:rPr>
                      <w:t>- 3 -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E37D0D" w:rsidRDefault="00E37D0D">
                          <w:pPr>
                            <w:pStyle w:val="a5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HwXDx3FAQAAmwMAAA4AAAAAAAAAAQAgAAAAH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Style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793" w:rsidRDefault="00C12793">
      <w:r>
        <w:separator/>
      </w:r>
    </w:p>
  </w:footnote>
  <w:footnote w:type="continuationSeparator" w:id="0">
    <w:p w:rsidR="00C12793" w:rsidRDefault="00C12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D0D" w:rsidRDefault="00E37D0D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  <w:docVar w:name="KSO_WPS_MARK_KEY" w:val="cf10db0a-a246-4e5e-956b-53c70147d7ea"/>
  </w:docVars>
  <w:rsids>
    <w:rsidRoot w:val="49CB5D72"/>
    <w:rsid w:val="00011E26"/>
    <w:rsid w:val="00017F47"/>
    <w:rsid w:val="00097966"/>
    <w:rsid w:val="001869BC"/>
    <w:rsid w:val="001E59FC"/>
    <w:rsid w:val="001F6388"/>
    <w:rsid w:val="001F7F44"/>
    <w:rsid w:val="00201AC2"/>
    <w:rsid w:val="00234B53"/>
    <w:rsid w:val="00330846"/>
    <w:rsid w:val="00355335"/>
    <w:rsid w:val="003A0AE7"/>
    <w:rsid w:val="00460FD9"/>
    <w:rsid w:val="00483918"/>
    <w:rsid w:val="004A4E83"/>
    <w:rsid w:val="004A5E9F"/>
    <w:rsid w:val="0054605D"/>
    <w:rsid w:val="0056497F"/>
    <w:rsid w:val="005775B9"/>
    <w:rsid w:val="0062161A"/>
    <w:rsid w:val="00652A0C"/>
    <w:rsid w:val="006F44D3"/>
    <w:rsid w:val="00726BC9"/>
    <w:rsid w:val="007B3C5C"/>
    <w:rsid w:val="00805874"/>
    <w:rsid w:val="0082667E"/>
    <w:rsid w:val="008A3FB6"/>
    <w:rsid w:val="008F6BD0"/>
    <w:rsid w:val="00975AE0"/>
    <w:rsid w:val="00A02D7B"/>
    <w:rsid w:val="00A81EA4"/>
    <w:rsid w:val="00AA4FA5"/>
    <w:rsid w:val="00AC37FE"/>
    <w:rsid w:val="00AF6469"/>
    <w:rsid w:val="00AF7EA9"/>
    <w:rsid w:val="00B06CAA"/>
    <w:rsid w:val="00B3406A"/>
    <w:rsid w:val="00B62F03"/>
    <w:rsid w:val="00BB4756"/>
    <w:rsid w:val="00BC11A2"/>
    <w:rsid w:val="00BF7BD2"/>
    <w:rsid w:val="00C12793"/>
    <w:rsid w:val="00C14755"/>
    <w:rsid w:val="00CB1FC3"/>
    <w:rsid w:val="00CB46C1"/>
    <w:rsid w:val="00CE77F7"/>
    <w:rsid w:val="00D83ADC"/>
    <w:rsid w:val="00DA2A5D"/>
    <w:rsid w:val="00E2285D"/>
    <w:rsid w:val="00E37D0D"/>
    <w:rsid w:val="00E41E2F"/>
    <w:rsid w:val="00F350E0"/>
    <w:rsid w:val="00FA0064"/>
    <w:rsid w:val="00FB53FA"/>
    <w:rsid w:val="020826AC"/>
    <w:rsid w:val="036303A2"/>
    <w:rsid w:val="05300E9B"/>
    <w:rsid w:val="084F74AA"/>
    <w:rsid w:val="0A527A89"/>
    <w:rsid w:val="0B426468"/>
    <w:rsid w:val="0C6F1240"/>
    <w:rsid w:val="0D1019B5"/>
    <w:rsid w:val="0E3A54E8"/>
    <w:rsid w:val="112461CF"/>
    <w:rsid w:val="14DE3B0C"/>
    <w:rsid w:val="159F078C"/>
    <w:rsid w:val="16450CFE"/>
    <w:rsid w:val="176462D0"/>
    <w:rsid w:val="18973ABB"/>
    <w:rsid w:val="18FB0EA9"/>
    <w:rsid w:val="1A9B5E86"/>
    <w:rsid w:val="1D7208BD"/>
    <w:rsid w:val="24C70F69"/>
    <w:rsid w:val="250B1E26"/>
    <w:rsid w:val="25137E21"/>
    <w:rsid w:val="26912C1C"/>
    <w:rsid w:val="27A8172A"/>
    <w:rsid w:val="298507C6"/>
    <w:rsid w:val="2B2226F5"/>
    <w:rsid w:val="2F651A17"/>
    <w:rsid w:val="37597D2D"/>
    <w:rsid w:val="38B816DE"/>
    <w:rsid w:val="3C5A3EB8"/>
    <w:rsid w:val="3D37325E"/>
    <w:rsid w:val="3E5F72B3"/>
    <w:rsid w:val="406078CC"/>
    <w:rsid w:val="412E2655"/>
    <w:rsid w:val="49CB5D72"/>
    <w:rsid w:val="49DC5046"/>
    <w:rsid w:val="4A630034"/>
    <w:rsid w:val="4CB40BE6"/>
    <w:rsid w:val="4E50267E"/>
    <w:rsid w:val="4F59374B"/>
    <w:rsid w:val="53D74A85"/>
    <w:rsid w:val="5478427C"/>
    <w:rsid w:val="55041AB8"/>
    <w:rsid w:val="5BCF5B83"/>
    <w:rsid w:val="5EF77F0A"/>
    <w:rsid w:val="62E63ABE"/>
    <w:rsid w:val="65627C05"/>
    <w:rsid w:val="6857614A"/>
    <w:rsid w:val="6C857D33"/>
    <w:rsid w:val="6C86405F"/>
    <w:rsid w:val="72F53670"/>
    <w:rsid w:val="73A1619F"/>
    <w:rsid w:val="73A6416E"/>
    <w:rsid w:val="74161AF0"/>
    <w:rsid w:val="746F7452"/>
    <w:rsid w:val="7473579E"/>
    <w:rsid w:val="76D66058"/>
    <w:rsid w:val="79404F19"/>
    <w:rsid w:val="79782905"/>
    <w:rsid w:val="7C0F6FCD"/>
    <w:rsid w:val="7EE1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autoRedefine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pPr>
      <w:jc w:val="left"/>
    </w:pPr>
  </w:style>
  <w:style w:type="paragraph" w:styleId="a4">
    <w:name w:val="Balloon Text"/>
    <w:basedOn w:val="a"/>
    <w:link w:val="Char0"/>
    <w:autoRedefine/>
    <w:qFormat/>
    <w:rPr>
      <w:sz w:val="18"/>
      <w:szCs w:val="18"/>
    </w:rPr>
  </w:style>
  <w:style w:type="paragraph" w:styleId="a5">
    <w:name w:val="footer"/>
    <w:basedOn w:val="a"/>
    <w:link w:val="Char1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2"/>
    <w:autoRedefine/>
    <w:qFormat/>
    <w:rPr>
      <w:b/>
      <w:bCs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autoRedefine/>
    <w:qFormat/>
  </w:style>
  <w:style w:type="character" w:styleId="ab">
    <w:name w:val="Hyperlink"/>
    <w:basedOn w:val="a0"/>
    <w:autoRedefine/>
    <w:qFormat/>
    <w:rPr>
      <w:color w:val="0000FF"/>
      <w:u w:val="single"/>
    </w:rPr>
  </w:style>
  <w:style w:type="character" w:styleId="ac">
    <w:name w:val="annotation reference"/>
    <w:basedOn w:val="a0"/>
    <w:autoRedefine/>
    <w:qFormat/>
    <w:rPr>
      <w:sz w:val="21"/>
      <w:szCs w:val="21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paragraph" w:customStyle="1" w:styleId="10">
    <w:name w:val="列表段落1"/>
    <w:basedOn w:val="a"/>
    <w:autoRedefine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autoRedefine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文字 Char"/>
    <w:basedOn w:val="a0"/>
    <w:link w:val="a3"/>
    <w:autoRedefine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Char2">
    <w:name w:val="批注主题 Char"/>
    <w:basedOn w:val="Char"/>
    <w:link w:val="a8"/>
    <w:autoRedefine/>
    <w:qFormat/>
    <w:rPr>
      <w:rFonts w:ascii="Calibri" w:eastAsia="宋体" w:hAnsi="Calibri" w:cs="Times New Roman"/>
      <w:b/>
      <w:bCs/>
      <w:kern w:val="2"/>
      <w:sz w:val="21"/>
      <w:szCs w:val="22"/>
    </w:rPr>
  </w:style>
  <w:style w:type="character" w:customStyle="1" w:styleId="Char1">
    <w:name w:val="页脚 Char"/>
    <w:basedOn w:val="a0"/>
    <w:link w:val="a5"/>
    <w:autoRedefine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autoRedefine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pPr>
      <w:jc w:val="left"/>
    </w:pPr>
  </w:style>
  <w:style w:type="paragraph" w:styleId="a4">
    <w:name w:val="Balloon Text"/>
    <w:basedOn w:val="a"/>
    <w:link w:val="Char0"/>
    <w:autoRedefine/>
    <w:qFormat/>
    <w:rPr>
      <w:sz w:val="18"/>
      <w:szCs w:val="18"/>
    </w:rPr>
  </w:style>
  <w:style w:type="paragraph" w:styleId="a5">
    <w:name w:val="footer"/>
    <w:basedOn w:val="a"/>
    <w:link w:val="Char1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2"/>
    <w:autoRedefine/>
    <w:qFormat/>
    <w:rPr>
      <w:b/>
      <w:bCs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autoRedefine/>
    <w:qFormat/>
  </w:style>
  <w:style w:type="character" w:styleId="ab">
    <w:name w:val="Hyperlink"/>
    <w:basedOn w:val="a0"/>
    <w:autoRedefine/>
    <w:qFormat/>
    <w:rPr>
      <w:color w:val="0000FF"/>
      <w:u w:val="single"/>
    </w:rPr>
  </w:style>
  <w:style w:type="character" w:styleId="ac">
    <w:name w:val="annotation reference"/>
    <w:basedOn w:val="a0"/>
    <w:autoRedefine/>
    <w:qFormat/>
    <w:rPr>
      <w:sz w:val="21"/>
      <w:szCs w:val="21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paragraph" w:customStyle="1" w:styleId="10">
    <w:name w:val="列表段落1"/>
    <w:basedOn w:val="a"/>
    <w:autoRedefine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autoRedefine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文字 Char"/>
    <w:basedOn w:val="a0"/>
    <w:link w:val="a3"/>
    <w:autoRedefine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Char2">
    <w:name w:val="批注主题 Char"/>
    <w:basedOn w:val="Char"/>
    <w:link w:val="a8"/>
    <w:autoRedefine/>
    <w:qFormat/>
    <w:rPr>
      <w:rFonts w:ascii="Calibri" w:eastAsia="宋体" w:hAnsi="Calibri" w:cs="Times New Roman"/>
      <w:b/>
      <w:bCs/>
      <w:kern w:val="2"/>
      <w:sz w:val="21"/>
      <w:szCs w:val="22"/>
    </w:rPr>
  </w:style>
  <w:style w:type="character" w:customStyle="1" w:styleId="Char1">
    <w:name w:val="页脚 Char"/>
    <w:basedOn w:val="a0"/>
    <w:link w:val="a5"/>
    <w:autoRedefine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</dc:creator>
  <cp:lastModifiedBy>庞蔚</cp:lastModifiedBy>
  <cp:revision>2</cp:revision>
  <cp:lastPrinted>2023-12-27T00:31:00Z</cp:lastPrinted>
  <dcterms:created xsi:type="dcterms:W3CDTF">2021-12-06T10:10:00Z</dcterms:created>
  <dcterms:modified xsi:type="dcterms:W3CDTF">2024-03-22T01:29:00Z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BF86E71F2FD64F0382E064B7E883331E_13</vt:lpwstr>
  </property>
</Properties>
</file>