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在交流中，我们了解到：16位幼儿在假期中能主动向长辈问好，说吉祥话；12位幼儿能在家中做力所能及的事，有长大一岁的自豪感。</w:t>
            </w:r>
            <w:r>
              <w:rPr>
                <w:rFonts w:hint="eastAsia" w:ascii="宋体" w:hAnsi="宋体"/>
              </w:rPr>
              <w:t>但幼儿在自主整理物品方面缺乏细致性和条理性；在与同伴相处时多半喜欢依赖成人解决问题……新学期伊始，为了让幼儿进一步感受自己的成长，体验成长带来的快乐，</w:t>
            </w:r>
            <w:r>
              <w:rPr>
                <w:rFonts w:hint="eastAsia" w:ascii="宋体" w:hAnsi="宋体"/>
              </w:rPr>
              <w:t>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</w:t>
            </w:r>
            <w:r>
              <w:rPr>
                <w:rFonts w:hint="eastAsia" w:ascii="宋体" w:hAnsi="宋体"/>
              </w:rPr>
              <w:t>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</w:t>
            </w:r>
            <w:r>
              <w:rPr>
                <w:rFonts w:hint="eastAsia" w:ascii="宋体" w:hAnsi="宋体"/>
              </w:rPr>
              <w:t>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美工区：卡纸制作《鞭炮》、《成长中的我》，多种材料制作《马》等。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关注要点：1.张：关注幼儿区域游戏选择和具体游戏内容。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2.王：关注游戏中幼儿与材料的互动情况。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2.专用活动室：美工室《成长中的我》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张茜、王婳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张茜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莫莫兮露矣</cp:lastModifiedBy>
  <cp:lastPrinted>2023-09-22T23:37:00Z</cp:lastPrinted>
  <dcterms:modified xsi:type="dcterms:W3CDTF">2026-03-02T14:40:27Z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