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8"/>
        <w:gridCol w:w="3128"/>
        <w:gridCol w:w="32"/>
        <w:gridCol w:w="1376"/>
        <w:gridCol w:w="2772"/>
      </w:tblGrid>
      <w:tr w14:paraId="276CEA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8" w:type="dxa"/>
          </w:tcPr>
          <w:p w14:paraId="2ED867A8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姓名</w:t>
            </w:r>
          </w:p>
        </w:tc>
        <w:tc>
          <w:tcPr>
            <w:tcW w:w="3160" w:type="dxa"/>
            <w:gridSpan w:val="2"/>
          </w:tcPr>
          <w:p w14:paraId="3F0D594B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  <w:t>周静</w:t>
            </w:r>
          </w:p>
        </w:tc>
        <w:tc>
          <w:tcPr>
            <w:tcW w:w="1376" w:type="dxa"/>
          </w:tcPr>
          <w:p w14:paraId="7E277419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  <w:lang w:eastAsia="zh-CN"/>
              </w:rPr>
            </w:pPr>
            <w:r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  <w:t>学校</w:t>
            </w:r>
          </w:p>
        </w:tc>
        <w:tc>
          <w:tcPr>
            <w:tcW w:w="2772" w:type="dxa"/>
          </w:tcPr>
          <w:p w14:paraId="4A9DEBD3">
            <w:pPr>
              <w:spacing w:after="0" w:line="240" w:lineRule="auto"/>
              <w:rPr>
                <w:rFonts w:hint="default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  <w:t>常州市中天实验学校</w:t>
            </w:r>
          </w:p>
        </w:tc>
      </w:tr>
      <w:tr w14:paraId="79434F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8" w:type="dxa"/>
          </w:tcPr>
          <w:p w14:paraId="6F99FAA7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课题</w:t>
            </w:r>
          </w:p>
        </w:tc>
        <w:tc>
          <w:tcPr>
            <w:tcW w:w="7308" w:type="dxa"/>
            <w:gridSpan w:val="4"/>
          </w:tcPr>
          <w:p w14:paraId="17D8F532">
            <w:pPr>
              <w:spacing w:after="0" w:line="240" w:lineRule="auto"/>
              <w:rPr>
                <w:rFonts w:hint="default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  <w:t>九上6.2  共筑生命家园</w:t>
            </w:r>
          </w:p>
        </w:tc>
      </w:tr>
      <w:tr w14:paraId="293743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gridSpan w:val="5"/>
          </w:tcPr>
          <w:p w14:paraId="707FEBA0">
            <w:pPr>
              <w:spacing w:after="0" w:line="240" w:lineRule="auto"/>
              <w:rPr>
                <w:rFonts w:hint="eastAsia" w:ascii="宋体" w:hAnsi="宋体" w:eastAsia="宋体"/>
                <w:b/>
                <w:bCs/>
                <w:sz w:val="22"/>
                <w:szCs w:val="22"/>
              </w:rPr>
            </w:pPr>
            <w:r>
              <w:rPr>
                <w:rFonts w:hint="eastAsia" w:ascii="宋体" w:hAnsi="宋体" w:eastAsia="宋体"/>
                <w:b/>
                <w:bCs/>
                <w:sz w:val="22"/>
                <w:szCs w:val="22"/>
              </w:rPr>
              <w:t>1.教学内容分析</w:t>
            </w:r>
          </w:p>
          <w:p w14:paraId="7DE08410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本课时是九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上第三单元文明与家园中的</w:t>
            </w:r>
            <w:r>
              <w:rPr>
                <w:rFonts w:ascii="宋体" w:hAnsi="宋体" w:eastAsia="宋体" w:cs="宋体"/>
                <w:sz w:val="22"/>
                <w:szCs w:val="22"/>
              </w:rPr>
              <w:t>生态文明建设的核心内容，在单元中起到 “理论联系实际、深化价值认同” 的关键作用。通过江豚归家之路的现实案例，链接 “人与自然和谐共生” 的核心观点，既培养学生运用所学分析现实问题的能力，又渗透 “绿水青山就是金山银山” 的价值观念，助力学生形成尊重自然、顺应自然、保护自然的核心素养，树立生态兴则文明兴的理念。</w:t>
            </w:r>
          </w:p>
        </w:tc>
      </w:tr>
      <w:tr w14:paraId="2D640A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gridSpan w:val="5"/>
          </w:tcPr>
          <w:p w14:paraId="4BE77C6B">
            <w:pPr>
              <w:spacing w:after="0" w:line="240" w:lineRule="auto"/>
              <w:rPr>
                <w:rFonts w:hint="eastAsia" w:ascii="宋体" w:hAnsi="宋体" w:eastAsia="宋体"/>
                <w:b/>
                <w:bCs/>
                <w:sz w:val="22"/>
                <w:szCs w:val="22"/>
              </w:rPr>
            </w:pPr>
            <w:r>
              <w:rPr>
                <w:rFonts w:hint="eastAsia" w:ascii="宋体" w:hAnsi="宋体" w:eastAsia="宋体"/>
                <w:b/>
                <w:bCs/>
                <w:sz w:val="22"/>
                <w:szCs w:val="22"/>
              </w:rPr>
              <w:t>2.学情分析</w:t>
            </w:r>
          </w:p>
          <w:p w14:paraId="55DD7F28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九年级学生已具备一定的环保常识和抽象思维能力，通过新闻、短视频等渠道对长江生态问题有初步认知，但对 “生态保护与经济发展的关系” 缺乏系统思考。学生兴趣点集中在真实案例和互动体验，渴望通过实践活动表达观点，发展路径需从 “感性认知” 向 “理性分析”“实践践行” 过渡，需借助情境模拟、小组合作等形式深化理解。</w:t>
            </w:r>
          </w:p>
        </w:tc>
      </w:tr>
      <w:tr w14:paraId="25A913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gridSpan w:val="5"/>
          </w:tcPr>
          <w:p w14:paraId="331E2AE7">
            <w:pPr>
              <w:spacing w:after="0" w:line="240" w:lineRule="auto"/>
              <w:rPr>
                <w:rFonts w:hint="eastAsia" w:ascii="宋体" w:hAnsi="宋体" w:eastAsia="宋体"/>
                <w:b/>
                <w:bCs/>
                <w:sz w:val="22"/>
                <w:szCs w:val="22"/>
              </w:rPr>
            </w:pPr>
            <w:r>
              <w:rPr>
                <w:rFonts w:hint="eastAsia" w:ascii="宋体" w:hAnsi="宋体" w:eastAsia="宋体"/>
                <w:b/>
                <w:bCs/>
                <w:sz w:val="22"/>
                <w:szCs w:val="22"/>
              </w:rPr>
              <w:t>3.目标确定</w:t>
            </w:r>
          </w:p>
          <w:p w14:paraId="75B09D95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 xml:space="preserve">1. 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通过帮助江豚寻找失家之因，思人与自然和谐之道</w:t>
            </w:r>
            <w:r>
              <w:rPr>
                <w:rFonts w:hint="eastAsia" w:ascii="宋体" w:hAnsi="宋体" w:eastAsia="宋体" w:cs="宋体"/>
                <w:sz w:val="22"/>
                <w:szCs w:val="22"/>
                <w:lang w:eastAsia="zh-CN"/>
              </w:rPr>
              <w:t>，</w:t>
            </w:r>
            <w:r>
              <w:rPr>
                <w:rFonts w:ascii="宋体" w:hAnsi="宋体" w:eastAsia="宋体" w:cs="宋体"/>
                <w:sz w:val="22"/>
                <w:szCs w:val="22"/>
              </w:rPr>
              <w:t>理解人与自然和谐共生的重要性，掌握节约资源、保护环境的基本国策和新发展理念，明确不同主体在生态保护中的责任</w:t>
            </w:r>
            <w:r>
              <w:rPr>
                <w:rFonts w:hint="eastAsia" w:ascii="宋体" w:hAnsi="宋体" w:eastAsia="宋体" w:cs="宋体"/>
                <w:sz w:val="22"/>
                <w:szCs w:val="22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增</w:t>
            </w:r>
            <w:r>
              <w:rPr>
                <w:rFonts w:ascii="宋体" w:hAnsi="宋体" w:eastAsia="宋体" w:cs="宋体"/>
                <w:sz w:val="22"/>
                <w:szCs w:val="22"/>
              </w:rPr>
              <w:t>强守护长江、保护生态的责任感。</w:t>
            </w:r>
          </w:p>
          <w:p w14:paraId="7F9F8472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2.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通过角色扮演及两难抉择明</w:t>
            </w:r>
            <w:r>
              <w:rPr>
                <w:rFonts w:ascii="宋体" w:hAnsi="宋体" w:eastAsia="宋体" w:cs="宋体"/>
                <w:sz w:val="22"/>
                <w:szCs w:val="22"/>
              </w:rPr>
              <w:t>生态问题产生的原因及解决措施，通过小组合作完成倡议撰写、方案设计等任务，提升合作探究和实践创新能力</w:t>
            </w:r>
            <w:r>
              <w:rPr>
                <w:rFonts w:hint="eastAsia" w:ascii="宋体" w:hAnsi="宋体" w:eastAsia="宋体" w:cs="宋体"/>
                <w:sz w:val="22"/>
                <w:szCs w:val="22"/>
                <w:lang w:eastAsia="zh-CN"/>
              </w:rPr>
              <w:t>，</w:t>
            </w:r>
            <w:r>
              <w:rPr>
                <w:rFonts w:ascii="宋体" w:hAnsi="宋体" w:eastAsia="宋体" w:cs="宋体"/>
                <w:sz w:val="22"/>
                <w:szCs w:val="22"/>
              </w:rPr>
              <w:t>树立生命共同体意识，自觉践行绿色生活方式。</w:t>
            </w:r>
          </w:p>
        </w:tc>
      </w:tr>
      <w:tr w14:paraId="60A93B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8296" w:type="dxa"/>
            <w:gridSpan w:val="5"/>
          </w:tcPr>
          <w:p w14:paraId="73967DFF">
            <w:pPr>
              <w:spacing w:after="0" w:line="240" w:lineRule="auto"/>
              <w:rPr>
                <w:rFonts w:hint="eastAsia" w:ascii="宋体" w:hAnsi="宋体" w:eastAsia="宋体"/>
                <w:b/>
                <w:bCs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b/>
                <w:bCs/>
                <w:sz w:val="22"/>
                <w:szCs w:val="22"/>
              </w:rPr>
              <w:t>4.学习重难点</w:t>
            </w:r>
            <w:r>
              <w:rPr>
                <w:rFonts w:hint="eastAsia" w:ascii="宋体" w:hAnsi="宋体" w:eastAsia="宋体"/>
                <w:b/>
                <w:bCs/>
                <w:sz w:val="22"/>
                <w:szCs w:val="22"/>
                <w:lang w:val="en-US" w:eastAsia="zh-CN"/>
              </w:rPr>
              <w:t xml:space="preserve">  </w:t>
            </w:r>
          </w:p>
          <w:p w14:paraId="232F179A">
            <w:pPr>
              <w:spacing w:after="0" w:line="240" w:lineRule="auto"/>
              <w:rPr>
                <w:rFonts w:hint="default" w:ascii="宋体" w:hAnsi="宋体" w:eastAsia="宋体"/>
                <w:b/>
                <w:bCs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重点：人与自然和谐共生的重要性；不同主体在生态保护中的责任与行动。难点：理解经济发展与生态环境保护的辩证关系；将生态保护理念转化为自觉行动。</w:t>
            </w:r>
          </w:p>
        </w:tc>
      </w:tr>
      <w:tr w14:paraId="201C28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</w:trPr>
        <w:tc>
          <w:tcPr>
            <w:tcW w:w="8296" w:type="dxa"/>
            <w:gridSpan w:val="5"/>
          </w:tcPr>
          <w:p w14:paraId="7383BDFB">
            <w:pPr>
              <w:spacing w:after="0" w:line="240" w:lineRule="auto"/>
              <w:rPr>
                <w:rFonts w:hint="eastAsia" w:ascii="宋体" w:hAnsi="宋体" w:eastAsia="宋体"/>
                <w:b/>
                <w:bCs/>
                <w:sz w:val="22"/>
                <w:szCs w:val="22"/>
              </w:rPr>
            </w:pPr>
            <w:r>
              <w:rPr>
                <w:rFonts w:hint="eastAsia" w:ascii="宋体" w:hAnsi="宋体" w:eastAsia="宋体"/>
                <w:b/>
                <w:bCs/>
                <w:sz w:val="22"/>
                <w:szCs w:val="22"/>
              </w:rPr>
              <w:t>5.学习活动设计</w:t>
            </w:r>
          </w:p>
        </w:tc>
      </w:tr>
      <w:tr w14:paraId="6457A8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4116" w:type="dxa"/>
            <w:gridSpan w:val="2"/>
          </w:tcPr>
          <w:p w14:paraId="17B05FCB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教师活动</w:t>
            </w:r>
          </w:p>
        </w:tc>
        <w:tc>
          <w:tcPr>
            <w:tcW w:w="4180" w:type="dxa"/>
            <w:gridSpan w:val="3"/>
          </w:tcPr>
          <w:p w14:paraId="54FF314B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学生活动</w:t>
            </w:r>
          </w:p>
        </w:tc>
      </w:tr>
      <w:tr w14:paraId="48A2E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" w:hRule="atLeast"/>
        </w:trPr>
        <w:tc>
          <w:tcPr>
            <w:tcW w:w="8296" w:type="dxa"/>
            <w:gridSpan w:val="5"/>
          </w:tcPr>
          <w:p w14:paraId="6B522002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环节一：情境导入 —— 江豚的 “失家” 之痛（10 分钟）</w:t>
            </w:r>
          </w:p>
        </w:tc>
      </w:tr>
      <w:tr w14:paraId="5969C4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6" w:hRule="atLeast"/>
        </w:trPr>
        <w:tc>
          <w:tcPr>
            <w:tcW w:w="4116" w:type="dxa"/>
            <w:gridSpan w:val="2"/>
          </w:tcPr>
          <w:p w14:paraId="7C9326E1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教师活动</w:t>
            </w:r>
          </w:p>
          <w:p w14:paraId="02D66848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1.播放江豚生存现状相关视频，展示长江过度捕捞、水质污染的图片素材。</w:t>
            </w:r>
          </w:p>
          <w:p w14:paraId="0356477D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2.提出驱动性问题：“曾经的‘长江街溜子’为何失去家园？长江对人类的馈赠与人类的行为之间存在怎样的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矛</w:t>
            </w:r>
            <w:r>
              <w:rPr>
                <w:rFonts w:ascii="宋体" w:hAnsi="宋体" w:eastAsia="宋体" w:cs="宋体"/>
                <w:sz w:val="22"/>
                <w:szCs w:val="22"/>
              </w:rPr>
              <w:t>盾？”</w:t>
            </w:r>
          </w:p>
        </w:tc>
        <w:tc>
          <w:tcPr>
            <w:tcW w:w="4180" w:type="dxa"/>
            <w:gridSpan w:val="3"/>
          </w:tcPr>
          <w:p w14:paraId="460086C4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学生活动</w:t>
            </w:r>
          </w:p>
          <w:p w14:paraId="7E864C38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1.观看视频和图片，结合生活经验交流感受。</w:t>
            </w:r>
          </w:p>
          <w:p w14:paraId="624703CD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2.小组讨论问题，梳理长江为人类提供的滋养及人类活动对长江的破坏，代表发言分享观点。</w:t>
            </w:r>
          </w:p>
        </w:tc>
      </w:tr>
      <w:tr w14:paraId="44BF79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" w:hRule="atLeast"/>
        </w:trPr>
        <w:tc>
          <w:tcPr>
            <w:tcW w:w="8296" w:type="dxa"/>
            <w:gridSpan w:val="5"/>
          </w:tcPr>
          <w:p w14:paraId="5344E04F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设计意图</w:t>
            </w:r>
          </w:p>
          <w:p w14:paraId="36F3DF04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通过直观的视听素材引发学生情感共鸣，搭建 “现实情境 — 问题探究” 的桥梁，自然导入 “人与自然和谐共生” 的核心议题，为后续学习奠定感性基础。</w:t>
            </w:r>
          </w:p>
        </w:tc>
      </w:tr>
      <w:tr w14:paraId="335CBF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" w:hRule="atLeast"/>
        </w:trPr>
        <w:tc>
          <w:tcPr>
            <w:tcW w:w="8296" w:type="dxa"/>
            <w:gridSpan w:val="5"/>
          </w:tcPr>
          <w:p w14:paraId="71F73297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环节二：</w:t>
            </w:r>
            <w:r>
              <w:rPr>
                <w:rFonts w:ascii="宋体" w:hAnsi="宋体" w:eastAsia="宋体" w:cs="宋体"/>
                <w:sz w:val="22"/>
                <w:szCs w:val="22"/>
              </w:rPr>
              <w:t>合作探究 —— 江豚的 “归家” 之路（20 分钟）</w:t>
            </w:r>
          </w:p>
        </w:tc>
      </w:tr>
      <w:tr w14:paraId="3A1882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" w:hRule="atLeast"/>
        </w:trPr>
        <w:tc>
          <w:tcPr>
            <w:tcW w:w="4116" w:type="dxa"/>
            <w:gridSpan w:val="2"/>
          </w:tcPr>
          <w:p w14:paraId="4C2AD4BF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教师活动</w:t>
            </w:r>
          </w:p>
          <w:p w14:paraId="35ABB59A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1.划分 “政府代表团”“渔民代表团”“居民代表团” 三大小组，分配任务卡。</w:t>
            </w:r>
          </w:p>
          <w:p w14:paraId="0BEFA249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 xml:space="preserve">2.提供常州退捕渔民转型、长江十年禁渔等案例素材，引导各小组围绕任务讨论：政府组：如何通过政策、监管、技术创新守护长江生态？ </w:t>
            </w:r>
          </w:p>
          <w:p w14:paraId="0E478F8A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 xml:space="preserve">渔民组：面临生态危机，该选择 “继续捕鱼” 还是 “另谋出路”？若转型，有哪些绿色致富方式？ </w:t>
            </w:r>
          </w:p>
          <w:p w14:paraId="09FF7533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居民组：作为普通市民，能为长江保护做哪些力所能及的事？</w:t>
            </w:r>
          </w:p>
          <w:p w14:paraId="52D87AC7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3.巡视指导小组讨论，记录关键观点，引导学生聚焦 “责任与行动”。</w:t>
            </w:r>
          </w:p>
          <w:p w14:paraId="4DECF401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</w:tc>
        <w:tc>
          <w:tcPr>
            <w:tcW w:w="4180" w:type="dxa"/>
            <w:gridSpan w:val="3"/>
          </w:tcPr>
          <w:p w14:paraId="28FB1605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学生活动</w:t>
            </w:r>
          </w:p>
          <w:p w14:paraId="5BD477E6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1.明确小组角色，结合素材和教材 83-84 页内容展开3分钟讨论，记录员整理观点。</w:t>
            </w:r>
          </w:p>
          <w:p w14:paraId="4F571735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 xml:space="preserve">2. 各组发言人展示讨论成果，分享行动方案和理由，其他小组可补充提问。 </w:t>
            </w:r>
          </w:p>
        </w:tc>
      </w:tr>
      <w:tr w14:paraId="6CB29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" w:hRule="atLeast"/>
        </w:trPr>
        <w:tc>
          <w:tcPr>
            <w:tcW w:w="8296" w:type="dxa"/>
            <w:gridSpan w:val="5"/>
          </w:tcPr>
          <w:p w14:paraId="369AD38D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设计意图</w:t>
            </w:r>
          </w:p>
          <w:p w14:paraId="7A3A79A3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通过角色模拟激发学生参与热情，让学生站在不同主体视角思考生态保护的实践路径，在合作探究中深化对 “不同主体责任” 的理解，突破 “经济发展与生态保护关系” 的难点，提升合作探究和语言表达能力。</w:t>
            </w:r>
          </w:p>
        </w:tc>
      </w:tr>
      <w:tr w14:paraId="43483E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8296" w:type="dxa"/>
            <w:gridSpan w:val="5"/>
          </w:tcPr>
          <w:p w14:paraId="0CE8350F">
            <w:pPr>
              <w:spacing w:after="0" w:line="240" w:lineRule="auto"/>
              <w:rPr>
                <w:rFonts w:hint="default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环节三：实践输出 —— 共筑生命家园（10 分钟）</w:t>
            </w:r>
          </w:p>
        </w:tc>
      </w:tr>
      <w:tr w14:paraId="1A3ACA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4148" w:type="dxa"/>
            <w:gridSpan w:val="3"/>
          </w:tcPr>
          <w:p w14:paraId="4A4DEC7F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  <w:t>教师活动</w:t>
            </w:r>
          </w:p>
          <w:p w14:paraId="2D5E5D38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1</w:t>
            </w:r>
            <w:r>
              <w:rPr>
                <w:rFonts w:hint="eastAsia" w:ascii="宋体" w:hAnsi="宋体" w:eastAsia="宋体" w:cs="宋体"/>
                <w:sz w:val="22"/>
                <w:szCs w:val="22"/>
                <w:lang w:eastAsia="zh-CN"/>
              </w:rPr>
              <w:t>.</w:t>
            </w:r>
            <w:r>
              <w:rPr>
                <w:rFonts w:ascii="宋体" w:hAnsi="宋体" w:eastAsia="宋体" w:cs="宋体"/>
                <w:sz w:val="22"/>
                <w:szCs w:val="22"/>
              </w:rPr>
              <w:t>引导居民代表团牵头，联合其他小组共同完善《共筑生命家园，守护长江母亲河》倡议书。</w:t>
            </w:r>
          </w:p>
          <w:p w14:paraId="136CE6E5">
            <w:pPr>
              <w:spacing w:after="0" w:line="240" w:lineRule="auto"/>
              <w:rPr>
                <w:rFonts w:hint="default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2.展示长江生态修复后的美景图片（江豚再现、鱼跃鸢飞），总结不同主体的核心行动，提炼 “绿色富国、绿色惠民”“绿水青山就是金山银山” 的理念。</w:t>
            </w:r>
          </w:p>
        </w:tc>
        <w:tc>
          <w:tcPr>
            <w:tcW w:w="4148" w:type="dxa"/>
            <w:gridSpan w:val="2"/>
          </w:tcPr>
          <w:p w14:paraId="6F282ADE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  <w:t>学生活动</w:t>
            </w:r>
          </w:p>
          <w:p w14:paraId="668CDB6A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1.结合小组讨论成果，补充倡议书内容，明确具体行动倡议（如低碳出行、垃圾分类、监督污染行为等）。</w:t>
            </w:r>
          </w:p>
          <w:p w14:paraId="5726325C">
            <w:pPr>
              <w:spacing w:after="0" w:line="240" w:lineRule="auto"/>
              <w:rPr>
                <w:rFonts w:hint="default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2.集体朗读倡议书，强化责任意识和行动自觉。</w:t>
            </w:r>
          </w:p>
        </w:tc>
      </w:tr>
      <w:tr w14:paraId="1A8454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8296" w:type="dxa"/>
            <w:gridSpan w:val="5"/>
          </w:tcPr>
          <w:p w14:paraId="56BAA995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sz w:val="22"/>
                <w:szCs w:val="22"/>
                <w:lang w:val="en-US" w:eastAsia="zh-CN"/>
              </w:rPr>
              <w:t>设计意图</w:t>
            </w:r>
          </w:p>
          <w:p w14:paraId="33BDC381">
            <w:pPr>
              <w:spacing w:after="0" w:line="240" w:lineRule="auto"/>
              <w:rPr>
                <w:rFonts w:hint="default" w:ascii="宋体" w:hAnsi="宋体" w:eastAsia="宋体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通过倡议书撰写实现 “知识 — 行动” 的转化，让学生在实践中梳理核心观点，巩固所学知识，同时将课堂情感推向高潮，落实价值观念的培育目标。</w:t>
            </w:r>
          </w:p>
        </w:tc>
      </w:tr>
      <w:tr w14:paraId="17613F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" w:hRule="atLeast"/>
        </w:trPr>
        <w:tc>
          <w:tcPr>
            <w:tcW w:w="8296" w:type="dxa"/>
            <w:gridSpan w:val="5"/>
          </w:tcPr>
          <w:p w14:paraId="51C32AD5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1000760</wp:posOffset>
                  </wp:positionH>
                  <wp:positionV relativeFrom="paragraph">
                    <wp:posOffset>38100</wp:posOffset>
                  </wp:positionV>
                  <wp:extent cx="2720340" cy="1381125"/>
                  <wp:effectExtent l="0" t="0" r="10160" b="3175"/>
                  <wp:wrapNone/>
                  <wp:docPr id="1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34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/>
                <w:sz w:val="22"/>
                <w:szCs w:val="22"/>
              </w:rPr>
              <w:t>6.板书设计</w:t>
            </w:r>
          </w:p>
          <w:p w14:paraId="49CF0EDE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001FAF13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237E471D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2161EB9A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287E0E7D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2C8C2481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</w:tc>
      </w:tr>
      <w:tr w14:paraId="29C071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" w:hRule="atLeast"/>
        </w:trPr>
        <w:tc>
          <w:tcPr>
            <w:tcW w:w="8296" w:type="dxa"/>
            <w:gridSpan w:val="5"/>
          </w:tcPr>
          <w:p w14:paraId="2539D718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7.作业与拓展学习设计</w:t>
            </w:r>
          </w:p>
          <w:p w14:paraId="6349E264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基础作业完善课堂撰写的倡议书，周末与家人分享，邀请家人签名，下周带回班级交流。</w:t>
            </w:r>
          </w:p>
          <w:p w14:paraId="5FF088E4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拓展作业</w:t>
            </w:r>
            <w:r>
              <w:rPr>
                <w:rFonts w:hint="eastAsia" w:ascii="宋体" w:hAnsi="宋体" w:eastAsia="宋体" w:cs="宋体"/>
                <w:sz w:val="22"/>
                <w:szCs w:val="22"/>
                <w:lang w:eastAsia="zh-CN"/>
              </w:rPr>
              <w:t>：</w:t>
            </w:r>
            <w:r>
              <w:rPr>
                <w:rFonts w:ascii="宋体" w:hAnsi="宋体" w:eastAsia="宋体" w:cs="宋体"/>
                <w:sz w:val="22"/>
                <w:szCs w:val="22"/>
              </w:rPr>
              <w:t>以 “我身边的生态保护故事” 为主题，拍摄一张照片或撰写一段短文，记录身边践行绿色发展理念的行为，下节课展示分享。</w:t>
            </w:r>
          </w:p>
        </w:tc>
      </w:tr>
      <w:tr w14:paraId="11BCE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" w:hRule="atLeast"/>
        </w:trPr>
        <w:tc>
          <w:tcPr>
            <w:tcW w:w="8296" w:type="dxa"/>
            <w:gridSpan w:val="5"/>
          </w:tcPr>
          <w:p w14:paraId="01956D90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8.特色学习资源分析、技术手段应用说明</w:t>
            </w:r>
          </w:p>
          <w:p w14:paraId="4C2B1439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特色学习资源：江豚生存现状视频、长江生态破坏与修复对比图片、常州退捕渔民转型案例素材，这些资源贴近现实、地域特色鲜明，能增强学习的真实性和感染力；教材 83-84 页理论内容为探究提供知识支撑，实现 “案例 + 理论” 的深度融合。</w:t>
            </w:r>
          </w:p>
          <w:p w14:paraId="69703C0E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技术手段应用：借助多媒体播放视频和图片，直观呈现教学内容；利用小组讨论任务卡、评价量表等工具，提升课堂互动效率和评价的客观性，助力学生精准把握学习重点。</w:t>
            </w:r>
          </w:p>
        </w:tc>
      </w:tr>
      <w:tr w14:paraId="0E920B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" w:hRule="atLeast"/>
        </w:trPr>
        <w:tc>
          <w:tcPr>
            <w:tcW w:w="8296" w:type="dxa"/>
            <w:gridSpan w:val="5"/>
          </w:tcPr>
          <w:p w14:paraId="4411E74E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hint="eastAsia" w:ascii="宋体" w:hAnsi="宋体" w:eastAsia="宋体"/>
                <w:sz w:val="22"/>
                <w:szCs w:val="22"/>
              </w:rPr>
              <w:t>9.教学反思与改进</w:t>
            </w:r>
          </w:p>
          <w:p w14:paraId="28363064">
            <w:pPr>
              <w:spacing w:after="0" w:line="240" w:lineRule="auto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1.若课堂时间紧张，可提前让学生预习教材相关内容，缩短讨论预热时间；对发言不积极的小组，可提前指定核心发言人引导交流。</w:t>
            </w:r>
          </w:p>
          <w:p w14:paraId="3F2F2458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t>2.后续可增加 “生态保护成效” 的数据分享（如长江鱼类种类恢复数量、江豚观测次数等），用数据增强说服力，进一步突破“经济与生态辩证关系”的难点。</w:t>
            </w:r>
          </w:p>
        </w:tc>
      </w:tr>
      <w:tr w14:paraId="02518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" w:hRule="atLeast"/>
        </w:trPr>
        <w:tc>
          <w:tcPr>
            <w:tcW w:w="8296" w:type="dxa"/>
            <w:gridSpan w:val="5"/>
          </w:tcPr>
          <w:p w14:paraId="6BD80BDC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  <w:bookmarkStart w:id="0" w:name="_GoBack"/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292100</wp:posOffset>
                  </wp:positionH>
                  <wp:positionV relativeFrom="paragraph">
                    <wp:posOffset>153670</wp:posOffset>
                  </wp:positionV>
                  <wp:extent cx="4587240" cy="2085340"/>
                  <wp:effectExtent l="0" t="0" r="10160" b="10160"/>
                  <wp:wrapNone/>
                  <wp:docPr id="2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7240" cy="2085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bookmarkEnd w:id="0"/>
            <w:r>
              <w:rPr>
                <w:rFonts w:hint="eastAsia" w:ascii="宋体" w:hAnsi="宋体" w:eastAsia="宋体"/>
                <w:sz w:val="22"/>
                <w:szCs w:val="22"/>
              </w:rPr>
              <w:t>10.学习评价设计</w:t>
            </w:r>
          </w:p>
          <w:p w14:paraId="7B1E60F8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749AF1FB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4032B54E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2D416C6C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5F4E86F6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0C23E5FA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76954264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16F7FF2E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60899464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  <w:p w14:paraId="3F88E8A3">
            <w:pPr>
              <w:spacing w:after="0" w:line="240" w:lineRule="auto"/>
              <w:rPr>
                <w:rFonts w:hint="eastAsia" w:ascii="宋体" w:hAnsi="宋体" w:eastAsia="宋体"/>
                <w:sz w:val="22"/>
                <w:szCs w:val="22"/>
              </w:rPr>
            </w:pPr>
          </w:p>
        </w:tc>
      </w:tr>
    </w:tbl>
    <w:p w14:paraId="706AA3E6">
      <w:pPr>
        <w:rPr>
          <w:rFonts w:hint="eastAsia" w:ascii="宋体" w:hAnsi="宋体" w:eastAsia="宋体"/>
          <w:sz w:val="22"/>
          <w:szCs w:val="2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1337"/>
    <w:rsid w:val="00071985"/>
    <w:rsid w:val="00085D18"/>
    <w:rsid w:val="001567B3"/>
    <w:rsid w:val="001B7B70"/>
    <w:rsid w:val="001C09A5"/>
    <w:rsid w:val="001D251E"/>
    <w:rsid w:val="00226227"/>
    <w:rsid w:val="00250CAA"/>
    <w:rsid w:val="00252157"/>
    <w:rsid w:val="00294815"/>
    <w:rsid w:val="002A32F0"/>
    <w:rsid w:val="00337883"/>
    <w:rsid w:val="00352514"/>
    <w:rsid w:val="004663C6"/>
    <w:rsid w:val="004A5DD0"/>
    <w:rsid w:val="005404FC"/>
    <w:rsid w:val="00562C15"/>
    <w:rsid w:val="0058655A"/>
    <w:rsid w:val="005A7AF5"/>
    <w:rsid w:val="006D75B1"/>
    <w:rsid w:val="0070199C"/>
    <w:rsid w:val="0079393A"/>
    <w:rsid w:val="007D172B"/>
    <w:rsid w:val="0082536F"/>
    <w:rsid w:val="00876F64"/>
    <w:rsid w:val="008959CA"/>
    <w:rsid w:val="00911F40"/>
    <w:rsid w:val="00957623"/>
    <w:rsid w:val="009D019A"/>
    <w:rsid w:val="00A633C8"/>
    <w:rsid w:val="00A91559"/>
    <w:rsid w:val="00AD1195"/>
    <w:rsid w:val="00B30D71"/>
    <w:rsid w:val="00BB3589"/>
    <w:rsid w:val="00BE2987"/>
    <w:rsid w:val="00C369E9"/>
    <w:rsid w:val="00C373C8"/>
    <w:rsid w:val="00C92130"/>
    <w:rsid w:val="00C9363B"/>
    <w:rsid w:val="00D20802"/>
    <w:rsid w:val="00DA1337"/>
    <w:rsid w:val="00DF319C"/>
    <w:rsid w:val="00E37CCF"/>
    <w:rsid w:val="00E94256"/>
    <w:rsid w:val="00F90DE1"/>
    <w:rsid w:val="00FC7487"/>
    <w:rsid w:val="0FE811A5"/>
    <w:rsid w:val="49DC3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21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22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24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</w:rPr>
  </w:style>
  <w:style w:type="paragraph" w:styleId="7">
    <w:name w:val="heading 6"/>
    <w:basedOn w:val="1"/>
    <w:next w:val="1"/>
    <w:link w:val="25"/>
    <w:semiHidden/>
    <w:unhideWhenUsed/>
    <w:qFormat/>
    <w:uiPriority w:val="9"/>
    <w:pPr>
      <w:keepNext/>
      <w:keepLines/>
      <w:spacing w:before="40" w:after="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6"/>
    <w:semiHidden/>
    <w:unhideWhenUsed/>
    <w:qFormat/>
    <w:uiPriority w:val="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7"/>
    <w:semiHidden/>
    <w:unhideWhenUsed/>
    <w:qFormat/>
    <w:uiPriority w:val="9"/>
    <w:pPr>
      <w:keepNext/>
      <w:keepLines/>
      <w:spacing w:after="0"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8"/>
    <w:semiHidden/>
    <w:unhideWhenUsed/>
    <w:qFormat/>
    <w:uiPriority w:val="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9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2">
    <w:name w:val="header"/>
    <w:basedOn w:val="1"/>
    <w:link w:val="38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30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9"/>
    <w:qFormat/>
    <w:uiPriority w:val="10"/>
    <w:pPr>
      <w:spacing w:after="80" w:line="240" w:lineRule="auto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styleId="16">
    <w:name w:val="Table Grid"/>
    <w:basedOn w:val="15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8">
    <w:name w:val="Hyperlink"/>
    <w:basedOn w:val="1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9">
    <w:name w:val="HTML Code"/>
    <w:basedOn w:val="17"/>
    <w:semiHidden/>
    <w:unhideWhenUsed/>
    <w:uiPriority w:val="99"/>
    <w:rPr>
      <w:rFonts w:ascii="Courier New" w:hAnsi="Courier New"/>
      <w:sz w:val="20"/>
    </w:rPr>
  </w:style>
  <w:style w:type="character" w:customStyle="1" w:styleId="20">
    <w:name w:val="标题 1 字符"/>
    <w:basedOn w:val="17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21">
    <w:name w:val="标题 2 字符"/>
    <w:basedOn w:val="17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22">
    <w:name w:val="标题 3 字符"/>
    <w:basedOn w:val="17"/>
    <w:link w:val="4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3">
    <w:name w:val="标题 4 字符"/>
    <w:basedOn w:val="17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24">
    <w:name w:val="标题 5 字符"/>
    <w:basedOn w:val="17"/>
    <w:link w:val="6"/>
    <w:semiHidden/>
    <w:qFormat/>
    <w:uiPriority w:val="9"/>
    <w:rPr>
      <w:rFonts w:cstheme="majorBidi"/>
      <w:color w:val="2F5597" w:themeColor="accent1" w:themeShade="BF"/>
      <w:sz w:val="24"/>
    </w:rPr>
  </w:style>
  <w:style w:type="character" w:customStyle="1" w:styleId="25">
    <w:name w:val="标题 6 字符"/>
    <w:basedOn w:val="17"/>
    <w:link w:val="7"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6">
    <w:name w:val="标题 7 字符"/>
    <w:basedOn w:val="17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8 字符"/>
    <w:basedOn w:val="17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8">
    <w:name w:val="标题 9 字符"/>
    <w:basedOn w:val="17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9">
    <w:name w:val="标题 字符"/>
    <w:basedOn w:val="17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30">
    <w:name w:val="副标题 字符"/>
    <w:basedOn w:val="17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1">
    <w:name w:val="Quote"/>
    <w:basedOn w:val="1"/>
    <w:next w:val="1"/>
    <w:link w:val="32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2">
    <w:name w:val="引用 字符"/>
    <w:basedOn w:val="17"/>
    <w:link w:val="31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3">
    <w:name w:val="List Paragraph"/>
    <w:basedOn w:val="1"/>
    <w:qFormat/>
    <w:uiPriority w:val="34"/>
    <w:pPr>
      <w:ind w:left="720"/>
      <w:contextualSpacing/>
    </w:pPr>
  </w:style>
  <w:style w:type="character" w:customStyle="1" w:styleId="34">
    <w:name w:val="Intense Emphasis"/>
    <w:basedOn w:val="17"/>
    <w:qFormat/>
    <w:uiPriority w:val="21"/>
    <w:rPr>
      <w:i/>
      <w:iCs/>
      <w:color w:val="2F5597" w:themeColor="accent1" w:themeShade="BF"/>
    </w:rPr>
  </w:style>
  <w:style w:type="paragraph" w:styleId="35">
    <w:name w:val="Intense Quote"/>
    <w:basedOn w:val="1"/>
    <w:next w:val="1"/>
    <w:link w:val="36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6">
    <w:name w:val="明显引用 字符"/>
    <w:basedOn w:val="17"/>
    <w:link w:val="35"/>
    <w:qFormat/>
    <w:uiPriority w:val="30"/>
    <w:rPr>
      <w:i/>
      <w:iCs/>
      <w:color w:val="2F5597" w:themeColor="accent1" w:themeShade="BF"/>
    </w:rPr>
  </w:style>
  <w:style w:type="character" w:customStyle="1" w:styleId="37">
    <w:name w:val="Intense Reference"/>
    <w:basedOn w:val="17"/>
    <w:qFormat/>
    <w:uiPriority w:val="32"/>
    <w:rPr>
      <w:b/>
      <w:bCs/>
      <w:smallCaps/>
      <w:color w:val="2F5597" w:themeColor="accent1" w:themeShade="BF"/>
      <w:spacing w:val="5"/>
    </w:rPr>
  </w:style>
  <w:style w:type="character" w:customStyle="1" w:styleId="38">
    <w:name w:val="页眉 字符"/>
    <w:basedOn w:val="17"/>
    <w:link w:val="12"/>
    <w:qFormat/>
    <w:uiPriority w:val="99"/>
    <w:rPr>
      <w:sz w:val="18"/>
      <w:szCs w:val="18"/>
    </w:rPr>
  </w:style>
  <w:style w:type="character" w:customStyle="1" w:styleId="39">
    <w:name w:val="页脚 字符"/>
    <w:basedOn w:val="17"/>
    <w:link w:val="11"/>
    <w:qFormat/>
    <w:uiPriority w:val="99"/>
    <w:rPr>
      <w:sz w:val="18"/>
      <w:szCs w:val="18"/>
    </w:rPr>
  </w:style>
  <w:style w:type="character" w:customStyle="1" w:styleId="40">
    <w:name w:val="Unresolved Mention"/>
    <w:basedOn w:val="1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641</Words>
  <Characters>654</Characters>
  <Lines>10</Lines>
  <Paragraphs>2</Paragraphs>
  <TotalTime>23</TotalTime>
  <ScaleCrop>false</ScaleCrop>
  <LinksUpToDate>false</LinksUpToDate>
  <CharactersWithSpaces>656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2025-09-09T04:05:00Z</dcterms:created>
  <dc:creator>小芬 周</dc:creator>
  <cp:lastModifiedBy>唐吉木拉</cp:lastModifiedBy>
  <dcterms:modified xsi:type="dcterms:W3CDTF">2026-02-05T07:54:31Z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eyJoZGlkIjoiMzEwNTM5NzYwMDRjMzkwZTVkZjY2ODkwMGIxNGU0OTUiLCJ1c2VySWQiOiIzMDQwMDUxNzMifQ==</vt:lpwstr>
  </property>
  <property fmtid="{D5CDD505-2E9C-101B-9397-08002B2CF9AE}" pid="3" name="KSOProductBuildVer">
    <vt:lpwstr>2052-12.1.0.24657</vt:lpwstr>
  </property>
  <property fmtid="{D5CDD505-2E9C-101B-9397-08002B2CF9AE}" pid="4" name="ICV">
    <vt:lpwstr>E535DBE1437F4FCE98A7CA51AADF0E53_13</vt:lpwstr>
  </property>
</Properties>
</file>