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FB1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从技能到幸福：</w:t>
      </w:r>
    </w:p>
    <w:p w14:paraId="61FFD4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体心融合视角下小学体育评价的范式转型</w:t>
      </w:r>
    </w:p>
    <w:p w14:paraId="05F0593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32"/>
          <w:szCs w:val="32"/>
          <w:lang w:val="en-US" w:eastAsia="zh-CN"/>
        </w:rPr>
      </w:pPr>
    </w:p>
    <w:p w14:paraId="666FD7F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摘要：随着教育理念的不断更新，小学体育评价正从单一的技能考核向关注学生全面发展的方向转变。本研究基于PERMA模型构建包含5个维度、16项指标的小学体育评价新体系，通过为期18周的准实验研究（实验组n=158，对照组n=162）发现：采用体心融合评价的班级在运动幸福感（+28.6％）、团队合作行为（+41.3％）等指标上显著优于传统评价班级。通过对多所小学的案例分析与数据统计，阐述如何构建涵盖身体素质、心理品质、社会适应能力等多维度的评价体系，以促进学生身心健康与幸福成长，为小学体育教育的改革提供参考。</w:t>
      </w:r>
    </w:p>
    <w:p w14:paraId="2BF9CF4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关键词：小学体育；体心融合；评价范式转型；身心健康；PERMA模型</w:t>
      </w:r>
    </w:p>
    <w:p w14:paraId="017F24B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560A01BF">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一、引言</w:t>
      </w:r>
    </w:p>
    <w:p w14:paraId="7A7087AE">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1.1问题指出</w:t>
      </w:r>
    </w:p>
    <w:p w14:paraId="301EB4B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教育不断发展的当下，小学体育教育的重要性愈发凸显。传统小学体育评价多聚焦于学生的运动技能掌握情况，如跑步速度、球类技巧等，这种单一的评价方式已难以适应新时代对学生全面发展的要求。随着积极心理学、自我决定理论等在教育领域的应用，体心融合的理念逐渐深入人心，即体育教育不仅要提升学生的身体素质，更要关注其心理健康与社会适应能力的培养。在此背景下，小学体育评价范式从单纯的技能评价向综合考量学生身心发展的方向转型，成为教育改革的必然趋势。</w:t>
      </w:r>
    </w:p>
    <w:p w14:paraId="5153A9BD">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1.2理论框架</w:t>
      </w:r>
    </w:p>
    <w:p w14:paraId="19DE620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PERMA模型五要素与体育评价的对应关系：</w:t>
      </w:r>
    </w:p>
    <w:p w14:paraId="7EB7630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w:t>
      </w:r>
      <w:r>
        <w:rPr>
          <w:rFonts w:hint="eastAsia" w:ascii="宋体" w:hAnsi="宋体" w:eastAsia="宋体" w:cs="宋体"/>
          <w:b w:val="0"/>
          <w:bCs w:val="0"/>
          <w:sz w:val="28"/>
          <w:szCs w:val="28"/>
          <w:lang w:val="en-US" w:eastAsia="zh-CN"/>
        </w:rPr>
        <w:t>P</w:t>
      </w:r>
      <w:r>
        <w:rPr>
          <w:rFonts w:hint="default" w:ascii="宋体" w:hAnsi="宋体" w:eastAsia="宋体" w:cs="宋体"/>
          <w:b w:val="0"/>
          <w:bCs w:val="0"/>
          <w:sz w:val="28"/>
          <w:szCs w:val="28"/>
          <w:lang w:val="en-US" w:eastAsia="zh-CN"/>
        </w:rPr>
        <w:t>积极情绪：运动中的愉悦体验频率</w:t>
      </w:r>
    </w:p>
    <w:p w14:paraId="50FD48B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w:t>
      </w:r>
      <w:r>
        <w:rPr>
          <w:rFonts w:hint="eastAsia" w:ascii="宋体" w:hAnsi="宋体" w:eastAsia="宋体" w:cs="宋体"/>
          <w:b w:val="0"/>
          <w:bCs w:val="0"/>
          <w:sz w:val="28"/>
          <w:szCs w:val="28"/>
          <w:lang w:val="en-US" w:eastAsia="zh-CN"/>
        </w:rPr>
        <w:t>E</w:t>
      </w:r>
      <w:r>
        <w:rPr>
          <w:rFonts w:hint="default" w:ascii="宋体" w:hAnsi="宋体" w:eastAsia="宋体" w:cs="宋体"/>
          <w:b w:val="0"/>
          <w:bCs w:val="0"/>
          <w:sz w:val="28"/>
          <w:szCs w:val="28"/>
          <w:lang w:val="en-US" w:eastAsia="zh-CN"/>
        </w:rPr>
        <w:t>投入：课堂专注时长与主动性</w:t>
      </w:r>
    </w:p>
    <w:p w14:paraId="3D5352C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3.</w:t>
      </w:r>
      <w:r>
        <w:rPr>
          <w:rFonts w:hint="eastAsia" w:ascii="宋体" w:hAnsi="宋体" w:eastAsia="宋体" w:cs="宋体"/>
          <w:b w:val="0"/>
          <w:bCs w:val="0"/>
          <w:sz w:val="28"/>
          <w:szCs w:val="28"/>
          <w:lang w:val="en-US" w:eastAsia="zh-CN"/>
        </w:rPr>
        <w:t>R</w:t>
      </w:r>
      <w:r>
        <w:rPr>
          <w:rFonts w:hint="default" w:ascii="宋体" w:hAnsi="宋体" w:eastAsia="宋体" w:cs="宋体"/>
          <w:b w:val="0"/>
          <w:bCs w:val="0"/>
          <w:sz w:val="28"/>
          <w:szCs w:val="28"/>
          <w:lang w:val="en-US" w:eastAsia="zh-CN"/>
        </w:rPr>
        <w:t>人际关系：团队任务贡献度</w:t>
      </w:r>
    </w:p>
    <w:p w14:paraId="1DA5D88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4.</w:t>
      </w:r>
      <w:r>
        <w:rPr>
          <w:rFonts w:hint="eastAsia" w:ascii="宋体" w:hAnsi="宋体" w:eastAsia="宋体" w:cs="宋体"/>
          <w:b w:val="0"/>
          <w:bCs w:val="0"/>
          <w:sz w:val="28"/>
          <w:szCs w:val="28"/>
          <w:lang w:val="en-US" w:eastAsia="zh-CN"/>
        </w:rPr>
        <w:t>M</w:t>
      </w:r>
      <w:r>
        <w:rPr>
          <w:rFonts w:hint="default" w:ascii="宋体" w:hAnsi="宋体" w:eastAsia="宋体" w:cs="宋体"/>
          <w:b w:val="0"/>
          <w:bCs w:val="0"/>
          <w:sz w:val="28"/>
          <w:szCs w:val="28"/>
          <w:lang w:val="en-US" w:eastAsia="zh-CN"/>
        </w:rPr>
        <w:t>意义感：对运动价值的认同程度</w:t>
      </w:r>
    </w:p>
    <w:p w14:paraId="1DAEB27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w:t>
      </w:r>
      <w:r>
        <w:rPr>
          <w:rFonts w:hint="eastAsia" w:ascii="宋体" w:hAnsi="宋体" w:eastAsia="宋体" w:cs="宋体"/>
          <w:b w:val="0"/>
          <w:bCs w:val="0"/>
          <w:sz w:val="28"/>
          <w:szCs w:val="28"/>
          <w:lang w:val="en-US" w:eastAsia="zh-CN"/>
        </w:rPr>
        <w:t>A</w:t>
      </w:r>
      <w:r>
        <w:rPr>
          <w:rFonts w:hint="default" w:ascii="宋体" w:hAnsi="宋体" w:eastAsia="宋体" w:cs="宋体"/>
          <w:b w:val="0"/>
          <w:bCs w:val="0"/>
          <w:sz w:val="28"/>
          <w:szCs w:val="28"/>
          <w:lang w:val="en-US" w:eastAsia="zh-CN"/>
        </w:rPr>
        <w:t>成就感：进步幅度与目标达成</w:t>
      </w:r>
    </w:p>
    <w:p w14:paraId="21D9BDFF">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二、小学体育评价现状及问题</w:t>
      </w:r>
    </w:p>
    <w:p w14:paraId="691DFA82">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2.1 传统评价体系概述​</w:t>
      </w:r>
    </w:p>
    <w:p w14:paraId="38B410A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传统小学体育评价体系主要围绕运动技能和身体素质展开。例如，常见的体育考核项目包括 50 米跑、立定跳远、仰卧起坐等，通过学生的完成成绩与既定标准对比进行打分。在技能考核方面，以篮球课程为例，主要考察学生运球、传球、投篮等基本技能的熟练程度。评价方式多为终结性评价，即在学期末进行一次性考核，以量化分数作为学生体育学习成果的主要呈现方式。​</w:t>
      </w:r>
    </w:p>
    <w:p w14:paraId="39F6F942">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2.2 存在问题分析</w:t>
      </w:r>
      <w:r>
        <w:rPr>
          <w:rFonts w:hint="eastAsia" w:ascii="宋体" w:hAnsi="宋体" w:eastAsia="宋体" w:cs="宋体"/>
          <w:b w:val="0"/>
          <w:bCs w:val="0"/>
          <w:sz w:val="28"/>
          <w:szCs w:val="28"/>
          <w:lang w:val="en-US" w:eastAsia="zh-CN"/>
        </w:rPr>
        <w:t>​</w:t>
      </w:r>
    </w:p>
    <w:p w14:paraId="5C0F2CE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这种传统评价体系存在诸多弊端。首先，过于侧重技能与体能，忽视了学生在体育学习过程中的心理体验、努力程度以及进步幅度。例如，部分学生虽然身体素质一般，但在课堂上积极参与、努力练习，却因最终考核成绩不理想而得不到应有的肯定。其次，单一的评价方式无法全面反映学生的社会适应能力、团队协作精神等综合素质。在团队运动中，有些学生善于组织协调、鼓励队友，对团队贡献较大，但这些表现难以在传统评价中体现。此外，终结性评价为主的模式缺乏对学生学习过程的动态监测与反馈，不利于及时调整教学策略，促进学生发展。</w:t>
      </w:r>
    </w:p>
    <w:p w14:paraId="3A32A0A7">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三、体心融合视角下小学体育评价范式转型的重要性</w:t>
      </w:r>
    </w:p>
    <w:p w14:paraId="65A73CF0">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3.1 促进学生全面发展​</w:t>
      </w:r>
    </w:p>
    <w:p w14:paraId="6882BBD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体心融合视角下的体育评价关注学生身体素质提升的同时，将心理品质（如自信心、毅力、情绪管理能力）和社会适应能力（如团队协作、沟通能力、规则意识）纳入评价范畴。通过对学生在体育活动中多方面表现的评估，能够更全面地了解学生的发展状况，为促进其全面发展提供依据。例如，在足球比赛中，学生不仅锻炼了身体，还能在团队协作中提升沟通与合作能力，学会应对比赛中的挫折与压力，这些能力的发展对学生未来的学习和生活都至关重要。​</w:t>
      </w:r>
    </w:p>
    <w:p w14:paraId="6D31AED3">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3.2 契合教育发展趋势​</w:t>
      </w:r>
    </w:p>
    <w:p w14:paraId="4FF15F2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随着教育理念从知识传授向能力培养、素养提升转变，小学体育教育也需要与时俱进。体心融合的评价范式符合现代教育强调的学生主体地位与个性化发展需求。它鼓励学生根据自身兴趣和特长参与体育活动，在评价中关注每个学生的独特进步与成长，而非统一标准下的 “一刀切” 评价，更能激发学生的体育学习兴趣与内在动力，契合教育发展的整体趋势。</w:t>
      </w:r>
    </w:p>
    <w:p w14:paraId="0EE1D142">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四、体心融合视角下小学体育评价范式转型策略</w:t>
      </w:r>
    </w:p>
    <w:p w14:paraId="20B9F478">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4.1 构建多元化评价指标体系​</w:t>
      </w:r>
    </w:p>
    <w:p w14:paraId="3E381AC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身体素质指标：保留传统的身体素质考核项目，如 50 米跑、800 米跑（女生）/1000 米跑（男生）、立定跳远、坐位体前屈等，以反映学生的速度、耐力、力量、柔韧性等基本身体素质。但在评价标准上，可适当考虑个体差异，采用相对评价与绝对评价相结合的方式。例如，对于身体素质较弱但进步明显的学生给予额外加分。​</w:t>
      </w:r>
    </w:p>
    <w:p w14:paraId="5050311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心理品质指标：​</w:t>
      </w:r>
    </w:p>
    <w:p w14:paraId="0E1884D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自信心：观察学生在体育活动中是否敢于尝试新动作、挑战高难度项目，以及面对失败时的态度。如在体操课上，学生主动尝试复杂动作并积极改进，可在自信心维度给予高分。​</w:t>
      </w:r>
    </w:p>
    <w:p w14:paraId="323A157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毅力：通过长跑、耐力训练等项目，考察学生在面对疲劳和困难时的坚持程度。记录学生在长跑过程中是否中途放弃，以及坚持完成后的自我调节能力。​</w:t>
      </w:r>
    </w:p>
    <w:p w14:paraId="5C210F0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情绪管理能力：观察学生在体育比赛或活动中的情绪表现，如是否能控制愤怒、焦虑等负面情绪，保持积极的比赛心态。在篮球比赛中，学生面对对手犯规时能冷静应对，不出现过激行为，可在情绪管理方面得到较高评价。​</w:t>
      </w:r>
    </w:p>
    <w:p w14:paraId="1D18300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社会适应能力指标：​</w:t>
      </w:r>
    </w:p>
    <w:p w14:paraId="4B71C5B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团队协作能力：在团队运动项目（如足球、篮球、排球等）中，观察学生与队友的配合默契程度、是否愿意分享球权、能否积极为团队出谋划策等。例如，在足球比赛中，学生多次为队友创造得分机会，且在防守中积极补位，体现出良好的团队协作能力。​</w:t>
      </w:r>
    </w:p>
    <w:p w14:paraId="1DB1EF2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沟通能力：评估学生在体育活动中的沟通表现，包括与队友的战术交流、向老师请教问题以及在小组讨论中的发言质量等。在体育游戏的组织过程中，能够清晰准确地向同伴传达游戏规则和策略的学生，在沟通能力方面可获得高分。​</w:t>
      </w:r>
    </w:p>
    <w:p w14:paraId="467C313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规则意识：观察学生在体育活动中对规则的遵守情况，是否能自觉维护比赛秩序，对违规行为有正确的认识。在田径比赛中，学生严格遵守起跑规则，不抢跑，在比赛中尊重裁判判罚，展现出较强的规则意识。​</w:t>
      </w:r>
    </w:p>
    <w:p w14:paraId="1C6860D6">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4.2 采用多样化评价方式​</w:t>
      </w:r>
    </w:p>
    <w:p w14:paraId="48E4D1B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①过程性评价：​</w:t>
      </w:r>
    </w:p>
    <w:p w14:paraId="73C6563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课堂表现记录：教师在日常体育课堂中，记录学生的出勤情况、参与度、学习态度等。例如，学生是否按时上课、积极参与课堂练习、主动向老师提问等，都可作为评价依据。可使用课堂表现记录表，每周进行总结评价。​</w:t>
      </w:r>
    </w:p>
    <w:p w14:paraId="19C5917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成长档案袋：为每位学生建立体育学习成长档案袋，收集学生在体育学习过程中的作品（如运动技能展示视频、体育手抄报等）、测试成绩、自我反思等资料。通过成长档案袋，全面展示学生的学习历程与进步情况。​</w:t>
      </w:r>
    </w:p>
    <w:p w14:paraId="0B0AEAE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②终结性评价：​</w:t>
      </w:r>
    </w:p>
    <w:p w14:paraId="65EA8AB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技能考核：在学期末进行运动技能考核，对学生本学期所学的体育技能进行综合评估。如篮球课程的运球、投篮、传球技能考核，足球课程的带球、射门、防守技能考核等。考核标准根据学生的年龄和年级特点制定，确保合理性与可操作性。​</w:t>
      </w:r>
    </w:p>
    <w:p w14:paraId="1458BBA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综合素质测评：通过问卷调查、教师评价、同伴互评等方式，对学生的身体素质、心理品质、社会适应能力等综合素质进行评价。例如，设计一套包含多个维度问题的问卷，让学生自评、互评，教师再结合平时观察进行综合打分。​</w:t>
      </w:r>
    </w:p>
    <w:p w14:paraId="2275CF4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③自我评价与同伴评价：​</w:t>
      </w:r>
    </w:p>
    <w:p w14:paraId="767901C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自我评价：引导学生定期对自己的体育学习进行自我评价，如每周或每月进行一次。评价内容包括自己在体育技能、身体素质、参与度等方面的表现，以及自己的进步与不足。通过自我评价，学生能够增强自我认知能力，明确自己的努力方向。​</w:t>
      </w:r>
    </w:p>
    <w:p w14:paraId="3D5572B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同伴评价：在小组体育活动或比赛中，组织学生进行同伴评价。学生相互评价对方在团队中的表现、运动技能水平、合作能力等。同伴评价能够促进学生之间的交流与学习，培养学生的观察能力和评价能力。​</w:t>
      </w:r>
    </w:p>
    <w:p w14:paraId="3A3B7874">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4.3 案例分析</w:t>
      </w:r>
      <w:r>
        <w:rPr>
          <w:rFonts w:hint="eastAsia" w:ascii="宋体" w:hAnsi="宋体" w:eastAsia="宋体" w:cs="宋体"/>
          <w:b w:val="0"/>
          <w:bCs w:val="0"/>
          <w:sz w:val="28"/>
          <w:szCs w:val="28"/>
          <w:lang w:val="en-US" w:eastAsia="zh-CN"/>
        </w:rPr>
        <w:t>​</w:t>
      </w:r>
    </w:p>
    <w:p w14:paraId="0EB881E1">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案例一：马杭小学的 “阳光体育” 评价实践</w:t>
      </w:r>
      <w:r>
        <w:rPr>
          <w:rFonts w:hint="eastAsia" w:ascii="宋体" w:hAnsi="宋体" w:eastAsia="宋体" w:cs="宋体"/>
          <w:b w:val="0"/>
          <w:bCs w:val="0"/>
          <w:sz w:val="28"/>
          <w:szCs w:val="28"/>
          <w:lang w:val="en-US" w:eastAsia="zh-CN"/>
        </w:rPr>
        <w:t>​</w:t>
      </w:r>
    </w:p>
    <w:p w14:paraId="32B0684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马杭小学实施“阳光体育”评价体系，将身体素质、心理品质和社会适应能力纳入评价范畴，采用过程性与终结性评价相结合的方式。</w:t>
      </w:r>
    </w:p>
    <w:p w14:paraId="225207B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实践内容：</w:t>
      </w:r>
    </w:p>
    <w:p w14:paraId="2B35EBF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①评价指标：</w:t>
      </w:r>
    </w:p>
    <w:p w14:paraId="132CE80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身体素质：50米跑、跳绳、仰卧起坐。</w:t>
      </w:r>
    </w:p>
    <w:p w14:paraId="62C5423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心理品质：自信心、毅力、情绪调节能力。</w:t>
      </w:r>
    </w:p>
    <w:p w14:paraId="5E8626C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社会适应能力：团队协作、沟通能力。</w:t>
      </w:r>
    </w:p>
    <w:p w14:paraId="0C6FA70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②评价方式：课堂表现记录、成长档案袋、学期末技能考核。​</w:t>
      </w:r>
    </w:p>
    <w:p w14:paraId="6774073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lang w:val="en-US" w:eastAsia="zh-CN"/>
        </w:rPr>
        <w:t>③成效分析（数据对比）：</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3989"/>
        <w:gridCol w:w="1404"/>
        <w:gridCol w:w="1404"/>
        <w:gridCol w:w="1762"/>
      </w:tblGrid>
      <w:tr w14:paraId="08A2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330" w:type="pct"/>
            <w:tcBorders>
              <w:top w:val="single" w:color="auto" w:sz="12" w:space="0"/>
              <w:left w:val="nil"/>
              <w:bottom w:val="single" w:color="auto" w:sz="4" w:space="0"/>
              <w:right w:val="nil"/>
            </w:tcBorders>
            <w:vAlign w:val="center"/>
          </w:tcPr>
          <w:p w14:paraId="70B116C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w:t>
            </w:r>
          </w:p>
        </w:tc>
        <w:tc>
          <w:tcPr>
            <w:tcW w:w="820" w:type="pct"/>
            <w:tcBorders>
              <w:top w:val="single" w:color="auto" w:sz="12" w:space="0"/>
              <w:left w:val="nil"/>
              <w:bottom w:val="single" w:color="auto" w:sz="4" w:space="0"/>
              <w:right w:val="nil"/>
            </w:tcBorders>
            <w:vAlign w:val="center"/>
          </w:tcPr>
          <w:p w14:paraId="4895A14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改革前</w:t>
            </w:r>
          </w:p>
        </w:tc>
        <w:tc>
          <w:tcPr>
            <w:tcW w:w="820" w:type="pct"/>
            <w:tcBorders>
              <w:top w:val="single" w:color="auto" w:sz="12" w:space="0"/>
              <w:left w:val="nil"/>
              <w:bottom w:val="single" w:color="auto" w:sz="4" w:space="0"/>
              <w:right w:val="nil"/>
            </w:tcBorders>
            <w:vAlign w:val="center"/>
          </w:tcPr>
          <w:p w14:paraId="7BDF482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改革后</w:t>
            </w:r>
          </w:p>
        </w:tc>
        <w:tc>
          <w:tcPr>
            <w:tcW w:w="1029" w:type="pct"/>
            <w:tcBorders>
              <w:top w:val="single" w:color="auto" w:sz="12" w:space="0"/>
              <w:left w:val="nil"/>
              <w:bottom w:val="single" w:color="auto" w:sz="4" w:space="0"/>
              <w:right w:val="nil"/>
            </w:tcBorders>
            <w:vAlign w:val="center"/>
          </w:tcPr>
          <w:p w14:paraId="6CB3E94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提升幅度</w:t>
            </w:r>
          </w:p>
        </w:tc>
      </w:tr>
      <w:tr w14:paraId="6052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330" w:type="pct"/>
            <w:tcBorders>
              <w:top w:val="single" w:color="auto" w:sz="4" w:space="0"/>
              <w:left w:val="nil"/>
              <w:bottom w:val="nil"/>
              <w:right w:val="nil"/>
            </w:tcBorders>
            <w:vAlign w:val="center"/>
          </w:tcPr>
          <w:p w14:paraId="4E1581D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课堂参与度</w:t>
            </w:r>
          </w:p>
        </w:tc>
        <w:tc>
          <w:tcPr>
            <w:tcW w:w="820" w:type="pct"/>
            <w:tcBorders>
              <w:top w:val="single" w:color="auto" w:sz="4" w:space="0"/>
              <w:left w:val="nil"/>
              <w:bottom w:val="nil"/>
              <w:right w:val="nil"/>
            </w:tcBorders>
            <w:vAlign w:val="center"/>
          </w:tcPr>
          <w:p w14:paraId="78D903C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60％</w:t>
            </w:r>
          </w:p>
        </w:tc>
        <w:tc>
          <w:tcPr>
            <w:tcW w:w="820" w:type="pct"/>
            <w:tcBorders>
              <w:top w:val="single" w:color="auto" w:sz="4" w:space="0"/>
              <w:left w:val="nil"/>
              <w:bottom w:val="nil"/>
              <w:right w:val="nil"/>
            </w:tcBorders>
            <w:vAlign w:val="center"/>
          </w:tcPr>
          <w:p w14:paraId="67D8C27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85％</w:t>
            </w:r>
          </w:p>
        </w:tc>
        <w:tc>
          <w:tcPr>
            <w:tcW w:w="1029" w:type="pct"/>
            <w:tcBorders>
              <w:top w:val="single" w:color="auto" w:sz="4" w:space="0"/>
              <w:left w:val="nil"/>
              <w:bottom w:val="nil"/>
              <w:right w:val="nil"/>
            </w:tcBorders>
            <w:vAlign w:val="center"/>
          </w:tcPr>
          <w:p w14:paraId="6380189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＋25％</w:t>
            </w:r>
          </w:p>
        </w:tc>
      </w:tr>
      <w:tr w14:paraId="4470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330" w:type="pct"/>
            <w:tcBorders>
              <w:top w:val="nil"/>
              <w:left w:val="nil"/>
              <w:bottom w:val="nil"/>
              <w:right w:val="nil"/>
            </w:tcBorders>
            <w:vAlign w:val="center"/>
          </w:tcPr>
          <w:p w14:paraId="63A9923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50米跑平均成绩（秒）</w:t>
            </w:r>
          </w:p>
        </w:tc>
        <w:tc>
          <w:tcPr>
            <w:tcW w:w="820" w:type="pct"/>
            <w:tcBorders>
              <w:top w:val="nil"/>
              <w:left w:val="nil"/>
              <w:bottom w:val="nil"/>
              <w:right w:val="nil"/>
            </w:tcBorders>
            <w:vAlign w:val="center"/>
          </w:tcPr>
          <w:p w14:paraId="5649C1A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10.2</w:t>
            </w:r>
          </w:p>
        </w:tc>
        <w:tc>
          <w:tcPr>
            <w:tcW w:w="820" w:type="pct"/>
            <w:tcBorders>
              <w:top w:val="nil"/>
              <w:left w:val="nil"/>
              <w:bottom w:val="nil"/>
              <w:right w:val="nil"/>
            </w:tcBorders>
            <w:vAlign w:val="center"/>
          </w:tcPr>
          <w:p w14:paraId="149B2BE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9.7</w:t>
            </w:r>
          </w:p>
        </w:tc>
        <w:tc>
          <w:tcPr>
            <w:tcW w:w="1029" w:type="pct"/>
            <w:tcBorders>
              <w:top w:val="nil"/>
              <w:left w:val="nil"/>
              <w:bottom w:val="nil"/>
              <w:right w:val="nil"/>
            </w:tcBorders>
            <w:vAlign w:val="center"/>
          </w:tcPr>
          <w:p w14:paraId="2517229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-0.5</w:t>
            </w:r>
          </w:p>
        </w:tc>
      </w:tr>
      <w:tr w14:paraId="19C3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330" w:type="pct"/>
            <w:tcBorders>
              <w:top w:val="nil"/>
              <w:left w:val="nil"/>
              <w:bottom w:val="single" w:color="auto" w:sz="12" w:space="0"/>
              <w:right w:val="nil"/>
            </w:tcBorders>
            <w:vAlign w:val="center"/>
          </w:tcPr>
          <w:p w14:paraId="506A049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跳绳平均次数（次）</w:t>
            </w:r>
          </w:p>
        </w:tc>
        <w:tc>
          <w:tcPr>
            <w:tcW w:w="820" w:type="pct"/>
            <w:tcBorders>
              <w:top w:val="nil"/>
              <w:left w:val="nil"/>
              <w:bottom w:val="single" w:color="auto" w:sz="12" w:space="0"/>
              <w:right w:val="nil"/>
            </w:tcBorders>
            <w:vAlign w:val="center"/>
          </w:tcPr>
          <w:p w14:paraId="638BC66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118</w:t>
            </w:r>
          </w:p>
        </w:tc>
        <w:tc>
          <w:tcPr>
            <w:tcW w:w="820" w:type="pct"/>
            <w:tcBorders>
              <w:top w:val="nil"/>
              <w:left w:val="nil"/>
              <w:bottom w:val="single" w:color="auto" w:sz="12" w:space="0"/>
              <w:right w:val="nil"/>
            </w:tcBorders>
            <w:vAlign w:val="center"/>
          </w:tcPr>
          <w:p w14:paraId="2927A60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142</w:t>
            </w:r>
          </w:p>
        </w:tc>
        <w:tc>
          <w:tcPr>
            <w:tcW w:w="1029" w:type="pct"/>
            <w:tcBorders>
              <w:top w:val="nil"/>
              <w:left w:val="nil"/>
              <w:bottom w:val="single" w:color="auto" w:sz="12" w:space="0"/>
              <w:right w:val="nil"/>
            </w:tcBorders>
            <w:vAlign w:val="center"/>
          </w:tcPr>
          <w:p w14:paraId="680F10F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24</w:t>
            </w:r>
          </w:p>
        </w:tc>
      </w:tr>
    </w:tbl>
    <w:p w14:paraId="655383E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16FD42E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经过一学期的实践，通过对学生的问卷调查和数据分析发现，学生的体育学习兴趣明显提高，课堂参与度从之前的 60％ 提升到 85％。在身体素质方面，学生的 50 米跑平均成绩提高了 0.5 秒，跳绳平均次数增加了 24 次。在心理品质和社会适应能力方面，80％ 的学生表示在体育活动中变得更加自信，团队协作能力也得到了显著提升。​</w:t>
      </w:r>
    </w:p>
    <w:p w14:paraId="4E0C8740">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案例二：马杭小学的 “体心融合” 足球课程评价​</w:t>
      </w:r>
    </w:p>
    <w:p w14:paraId="05D5A0F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案例背景：该小学以足球课程为切入点，探索体心融合视角下的体育评价模式，培养学生的足球技能与综合素养。​</w:t>
      </w:r>
    </w:p>
    <w:p w14:paraId="3BB90C6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实践内容：</w:t>
      </w:r>
    </w:p>
    <w:p w14:paraId="2CC87D1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①评价维度：</w:t>
      </w:r>
    </w:p>
    <w:p w14:paraId="1962C99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技能：传球、射门、带球准确性。</w:t>
      </w:r>
    </w:p>
    <w:p w14:paraId="3A87DC4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心理：比赛专注力、失误应对心态。</w:t>
      </w:r>
    </w:p>
    <w:p w14:paraId="7F56E42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团队：协作贡献、战术执行。</w:t>
      </w:r>
    </w:p>
    <w:p w14:paraId="26C166D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②评价方式：教师观察、学生自评与互评。</w:t>
      </w:r>
    </w:p>
    <w:p w14:paraId="1408DE0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③成效分析（数据对比）：</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3721"/>
        <w:gridCol w:w="1671"/>
        <w:gridCol w:w="1404"/>
        <w:gridCol w:w="1763"/>
      </w:tblGrid>
      <w:tr w14:paraId="3F4A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173" w:type="pct"/>
            <w:tcBorders>
              <w:top w:val="single" w:color="auto" w:sz="12" w:space="0"/>
              <w:left w:val="nil"/>
              <w:bottom w:val="single" w:color="auto" w:sz="4" w:space="0"/>
              <w:right w:val="nil"/>
            </w:tcBorders>
            <w:vAlign w:val="center"/>
          </w:tcPr>
          <w:p w14:paraId="6364AB6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w:t>
            </w:r>
          </w:p>
        </w:tc>
        <w:tc>
          <w:tcPr>
            <w:tcW w:w="976" w:type="pct"/>
            <w:tcBorders>
              <w:top w:val="single" w:color="auto" w:sz="12" w:space="0"/>
              <w:left w:val="nil"/>
              <w:bottom w:val="single" w:color="auto" w:sz="4" w:space="0"/>
              <w:right w:val="nil"/>
            </w:tcBorders>
            <w:vAlign w:val="center"/>
          </w:tcPr>
          <w:p w14:paraId="4511BDA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改革前</w:t>
            </w:r>
          </w:p>
        </w:tc>
        <w:tc>
          <w:tcPr>
            <w:tcW w:w="820" w:type="pct"/>
            <w:tcBorders>
              <w:top w:val="single" w:color="auto" w:sz="12" w:space="0"/>
              <w:left w:val="nil"/>
              <w:bottom w:val="single" w:color="auto" w:sz="4" w:space="0"/>
              <w:right w:val="nil"/>
            </w:tcBorders>
            <w:vAlign w:val="center"/>
          </w:tcPr>
          <w:p w14:paraId="1E07C3D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改革后</w:t>
            </w:r>
          </w:p>
        </w:tc>
        <w:tc>
          <w:tcPr>
            <w:tcW w:w="1029" w:type="pct"/>
            <w:tcBorders>
              <w:top w:val="single" w:color="auto" w:sz="12" w:space="0"/>
              <w:left w:val="nil"/>
              <w:bottom w:val="single" w:color="auto" w:sz="4" w:space="0"/>
              <w:right w:val="nil"/>
            </w:tcBorders>
            <w:vAlign w:val="center"/>
          </w:tcPr>
          <w:p w14:paraId="44268CC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变化幅度</w:t>
            </w:r>
          </w:p>
        </w:tc>
      </w:tr>
      <w:tr w14:paraId="2E8A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173" w:type="pct"/>
            <w:tcBorders>
              <w:top w:val="single" w:color="auto" w:sz="4" w:space="0"/>
              <w:left w:val="nil"/>
              <w:bottom w:val="nil"/>
              <w:right w:val="nil"/>
            </w:tcBorders>
            <w:vAlign w:val="center"/>
          </w:tcPr>
          <w:p w14:paraId="439AEB9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区域比赛名次</w:t>
            </w:r>
          </w:p>
        </w:tc>
        <w:tc>
          <w:tcPr>
            <w:tcW w:w="976" w:type="pct"/>
            <w:tcBorders>
              <w:top w:val="single" w:color="auto" w:sz="4" w:space="0"/>
              <w:left w:val="nil"/>
              <w:bottom w:val="nil"/>
              <w:right w:val="nil"/>
            </w:tcBorders>
            <w:vAlign w:val="center"/>
          </w:tcPr>
          <w:p w14:paraId="4A2043C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小组未出线</w:t>
            </w:r>
          </w:p>
        </w:tc>
        <w:tc>
          <w:tcPr>
            <w:tcW w:w="820" w:type="pct"/>
            <w:tcBorders>
              <w:top w:val="single" w:color="auto" w:sz="4" w:space="0"/>
              <w:left w:val="nil"/>
              <w:bottom w:val="nil"/>
              <w:right w:val="nil"/>
            </w:tcBorders>
            <w:vAlign w:val="center"/>
          </w:tcPr>
          <w:p w14:paraId="66CC808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区前三</w:t>
            </w:r>
          </w:p>
        </w:tc>
        <w:tc>
          <w:tcPr>
            <w:tcW w:w="1029" w:type="pct"/>
            <w:tcBorders>
              <w:top w:val="single" w:color="auto" w:sz="4" w:space="0"/>
              <w:left w:val="nil"/>
              <w:bottom w:val="nil"/>
              <w:right w:val="nil"/>
            </w:tcBorders>
            <w:vAlign w:val="center"/>
          </w:tcPr>
          <w:p w14:paraId="46D12E1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r>
      <w:tr w14:paraId="2088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173" w:type="pct"/>
            <w:tcBorders>
              <w:top w:val="nil"/>
              <w:left w:val="nil"/>
              <w:bottom w:val="nil"/>
              <w:right w:val="nil"/>
            </w:tcBorders>
            <w:vAlign w:val="center"/>
          </w:tcPr>
          <w:p w14:paraId="0912463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学生焦虑情绪</w:t>
            </w:r>
          </w:p>
        </w:tc>
        <w:tc>
          <w:tcPr>
            <w:tcW w:w="976" w:type="pct"/>
            <w:tcBorders>
              <w:top w:val="nil"/>
              <w:left w:val="nil"/>
              <w:bottom w:val="nil"/>
              <w:right w:val="nil"/>
            </w:tcBorders>
            <w:vAlign w:val="center"/>
          </w:tcPr>
          <w:p w14:paraId="4628741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30％</w:t>
            </w:r>
          </w:p>
        </w:tc>
        <w:tc>
          <w:tcPr>
            <w:tcW w:w="820" w:type="pct"/>
            <w:tcBorders>
              <w:top w:val="nil"/>
              <w:left w:val="nil"/>
              <w:bottom w:val="nil"/>
              <w:right w:val="nil"/>
            </w:tcBorders>
            <w:vAlign w:val="center"/>
          </w:tcPr>
          <w:p w14:paraId="349900D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15％</w:t>
            </w:r>
          </w:p>
        </w:tc>
        <w:tc>
          <w:tcPr>
            <w:tcW w:w="1029" w:type="pct"/>
            <w:tcBorders>
              <w:top w:val="nil"/>
              <w:left w:val="nil"/>
              <w:bottom w:val="nil"/>
              <w:right w:val="nil"/>
            </w:tcBorders>
            <w:vAlign w:val="center"/>
          </w:tcPr>
          <w:p w14:paraId="1897582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-15％</w:t>
            </w:r>
          </w:p>
        </w:tc>
      </w:tr>
      <w:tr w14:paraId="7FCD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173" w:type="pct"/>
            <w:tcBorders>
              <w:top w:val="nil"/>
              <w:left w:val="nil"/>
              <w:bottom w:val="nil"/>
              <w:right w:val="nil"/>
            </w:tcBorders>
            <w:vAlign w:val="center"/>
          </w:tcPr>
          <w:p w14:paraId="0C0A83C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自信心提升率</w:t>
            </w:r>
          </w:p>
        </w:tc>
        <w:tc>
          <w:tcPr>
            <w:tcW w:w="976" w:type="pct"/>
            <w:tcBorders>
              <w:top w:val="nil"/>
              <w:left w:val="nil"/>
              <w:bottom w:val="nil"/>
              <w:right w:val="nil"/>
            </w:tcBorders>
            <w:vAlign w:val="center"/>
          </w:tcPr>
          <w:p w14:paraId="5BCF1F5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w:t>
            </w:r>
          </w:p>
        </w:tc>
        <w:tc>
          <w:tcPr>
            <w:tcW w:w="820" w:type="pct"/>
            <w:tcBorders>
              <w:top w:val="nil"/>
              <w:left w:val="nil"/>
              <w:bottom w:val="nil"/>
              <w:right w:val="nil"/>
            </w:tcBorders>
            <w:vAlign w:val="center"/>
          </w:tcPr>
          <w:p w14:paraId="2A96100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20％</w:t>
            </w:r>
          </w:p>
        </w:tc>
        <w:tc>
          <w:tcPr>
            <w:tcW w:w="1029" w:type="pct"/>
            <w:tcBorders>
              <w:top w:val="nil"/>
              <w:left w:val="nil"/>
              <w:bottom w:val="nil"/>
              <w:right w:val="nil"/>
            </w:tcBorders>
            <w:vAlign w:val="center"/>
          </w:tcPr>
          <w:p w14:paraId="5B92103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w:t>
            </w:r>
          </w:p>
        </w:tc>
      </w:tr>
      <w:tr w14:paraId="0786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173" w:type="pct"/>
            <w:tcBorders>
              <w:top w:val="nil"/>
              <w:left w:val="nil"/>
              <w:bottom w:val="single" w:color="auto" w:sz="12" w:space="0"/>
              <w:right w:val="nil"/>
            </w:tcBorders>
            <w:vAlign w:val="center"/>
          </w:tcPr>
          <w:p w14:paraId="4DA0D02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团队合作满意度</w:t>
            </w:r>
          </w:p>
        </w:tc>
        <w:tc>
          <w:tcPr>
            <w:tcW w:w="976" w:type="pct"/>
            <w:tcBorders>
              <w:top w:val="nil"/>
              <w:left w:val="nil"/>
              <w:bottom w:val="single" w:color="auto" w:sz="12" w:space="0"/>
              <w:right w:val="nil"/>
            </w:tcBorders>
            <w:vAlign w:val="center"/>
          </w:tcPr>
          <w:p w14:paraId="4ECFABC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65％</w:t>
            </w:r>
          </w:p>
        </w:tc>
        <w:tc>
          <w:tcPr>
            <w:tcW w:w="820" w:type="pct"/>
            <w:tcBorders>
              <w:top w:val="nil"/>
              <w:left w:val="nil"/>
              <w:bottom w:val="single" w:color="auto" w:sz="12" w:space="0"/>
              <w:right w:val="nil"/>
            </w:tcBorders>
            <w:vAlign w:val="center"/>
          </w:tcPr>
          <w:p w14:paraId="246B567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90％</w:t>
            </w:r>
          </w:p>
        </w:tc>
        <w:tc>
          <w:tcPr>
            <w:tcW w:w="1029" w:type="pct"/>
            <w:tcBorders>
              <w:top w:val="nil"/>
              <w:left w:val="nil"/>
              <w:bottom w:val="single" w:color="auto" w:sz="12" w:space="0"/>
              <w:right w:val="nil"/>
            </w:tcBorders>
            <w:vAlign w:val="center"/>
          </w:tcPr>
          <w:p w14:paraId="10F24B0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+25％</w:t>
            </w:r>
          </w:p>
        </w:tc>
      </w:tr>
    </w:tbl>
    <w:p w14:paraId="6AC9D48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p>
    <w:p w14:paraId="3DB0804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经过一学年的实践，该校足球队在区域比赛中的成绩有了显著提升，从之前的小组未出线到进入前三甲。同时，学生的心理健康水平也得到了改善，通过心理健康量表测评发现，学生的焦虑情绪降低了 15</w:t>
      </w:r>
      <w:r>
        <w:rPr>
          <w:rFonts w:hint="eastAsia" w:ascii="宋体" w:hAnsi="宋体" w:eastAsia="宋体" w:cs="宋体"/>
          <w:b w:val="0"/>
          <w:bCs/>
          <w:sz w:val="28"/>
          <w:szCs w:val="28"/>
          <w:vertAlign w:val="baseline"/>
          <w:lang w:val="en-US" w:eastAsia="zh-CN"/>
        </w:rPr>
        <w:t>％</w:t>
      </w:r>
      <w:r>
        <w:rPr>
          <w:rFonts w:hint="eastAsia" w:ascii="宋体" w:hAnsi="宋体" w:eastAsia="宋体" w:cs="宋体"/>
          <w:b w:val="0"/>
          <w:bCs w:val="0"/>
          <w:sz w:val="28"/>
          <w:szCs w:val="28"/>
          <w:lang w:val="en-US" w:eastAsia="zh-CN"/>
        </w:rPr>
        <w:t>，自信心提升了 20</w:t>
      </w:r>
      <w:r>
        <w:rPr>
          <w:rFonts w:hint="eastAsia" w:ascii="宋体" w:hAnsi="宋体" w:eastAsia="宋体" w:cs="宋体"/>
          <w:b w:val="0"/>
          <w:bCs/>
          <w:sz w:val="28"/>
          <w:szCs w:val="28"/>
          <w:vertAlign w:val="baseline"/>
          <w:lang w:val="en-US" w:eastAsia="zh-CN"/>
        </w:rPr>
        <w:t>％</w:t>
      </w:r>
      <w:r>
        <w:rPr>
          <w:rFonts w:hint="eastAsia" w:ascii="宋体" w:hAnsi="宋体" w:eastAsia="宋体" w:cs="宋体"/>
          <w:b w:val="0"/>
          <w:bCs w:val="0"/>
          <w:sz w:val="28"/>
          <w:szCs w:val="28"/>
          <w:lang w:val="en-US" w:eastAsia="zh-CN"/>
        </w:rPr>
        <w:t>。学生之间的关系更加融洽，团队凝聚力明显增强。</w:t>
      </w:r>
    </w:p>
    <w:p w14:paraId="04DA087B">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案例三：另小学“快乐体操”课程评价改革</w:t>
      </w:r>
      <w:r>
        <w:rPr>
          <w:rFonts w:hint="eastAsia" w:ascii="宋体" w:hAnsi="宋体" w:eastAsia="宋体" w:cs="宋体"/>
          <w:b w:val="0"/>
          <w:bCs w:val="0"/>
          <w:sz w:val="28"/>
          <w:szCs w:val="28"/>
          <w:lang w:val="en-US" w:eastAsia="zh-CN"/>
        </w:rPr>
        <w:t>​</w:t>
      </w:r>
    </w:p>
    <w:p w14:paraId="3514B8E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针对体操课程设计体心融合评价体系，关注技能与心理同步发展。实践内容：</w:t>
      </w:r>
    </w:p>
    <w:p w14:paraId="0AC1D7A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①评价重点：</w:t>
      </w:r>
    </w:p>
    <w:p w14:paraId="4064F09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技能：动作规范性、难度完成度。</w:t>
      </w:r>
    </w:p>
    <w:p w14:paraId="51857AE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心理：挑战高难度动作的勇气、失败后的情绪调节。</w:t>
      </w:r>
    </w:p>
    <w:p w14:paraId="0562E94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②评价工具：技能评分表、心理行为观察量表。</w:t>
      </w:r>
    </w:p>
    <w:p w14:paraId="79DEA56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③成效分析（数据对比）：</w:t>
      </w:r>
    </w:p>
    <w:p w14:paraId="337B9AB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p>
    <w:p w14:paraId="74A1783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p>
    <w:p w14:paraId="554E175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3721"/>
        <w:gridCol w:w="1671"/>
        <w:gridCol w:w="1404"/>
        <w:gridCol w:w="1763"/>
      </w:tblGrid>
      <w:tr w14:paraId="404D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173" w:type="pct"/>
            <w:tcBorders>
              <w:top w:val="single" w:color="auto" w:sz="12" w:space="0"/>
              <w:left w:val="nil"/>
              <w:bottom w:val="single" w:color="auto" w:sz="4" w:space="0"/>
              <w:right w:val="nil"/>
            </w:tcBorders>
            <w:vAlign w:val="center"/>
          </w:tcPr>
          <w:p w14:paraId="67D2547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w:t>
            </w:r>
          </w:p>
        </w:tc>
        <w:tc>
          <w:tcPr>
            <w:tcW w:w="976" w:type="pct"/>
            <w:tcBorders>
              <w:top w:val="single" w:color="auto" w:sz="12" w:space="0"/>
              <w:left w:val="nil"/>
              <w:bottom w:val="single" w:color="auto" w:sz="4" w:space="0"/>
              <w:right w:val="nil"/>
            </w:tcBorders>
            <w:vAlign w:val="center"/>
          </w:tcPr>
          <w:p w14:paraId="6DA79E2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改革前</w:t>
            </w:r>
          </w:p>
        </w:tc>
        <w:tc>
          <w:tcPr>
            <w:tcW w:w="820" w:type="pct"/>
            <w:tcBorders>
              <w:top w:val="single" w:color="auto" w:sz="12" w:space="0"/>
              <w:left w:val="nil"/>
              <w:bottom w:val="single" w:color="auto" w:sz="4" w:space="0"/>
              <w:right w:val="nil"/>
            </w:tcBorders>
            <w:vAlign w:val="center"/>
          </w:tcPr>
          <w:p w14:paraId="472F7D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改革后</w:t>
            </w:r>
          </w:p>
        </w:tc>
        <w:tc>
          <w:tcPr>
            <w:tcW w:w="1029" w:type="pct"/>
            <w:tcBorders>
              <w:top w:val="single" w:color="auto" w:sz="12" w:space="0"/>
              <w:left w:val="nil"/>
              <w:bottom w:val="single" w:color="auto" w:sz="4" w:space="0"/>
              <w:right w:val="nil"/>
            </w:tcBorders>
            <w:vAlign w:val="center"/>
          </w:tcPr>
          <w:p w14:paraId="2C82842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提升幅度</w:t>
            </w:r>
          </w:p>
        </w:tc>
      </w:tr>
      <w:tr w14:paraId="7A9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173" w:type="pct"/>
            <w:tcBorders>
              <w:top w:val="single" w:color="auto" w:sz="4" w:space="0"/>
              <w:left w:val="nil"/>
              <w:bottom w:val="nil"/>
              <w:right w:val="nil"/>
            </w:tcBorders>
            <w:vAlign w:val="center"/>
          </w:tcPr>
          <w:p w14:paraId="60B2C91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动作规范性达标率</w:t>
            </w:r>
          </w:p>
        </w:tc>
        <w:tc>
          <w:tcPr>
            <w:tcW w:w="976" w:type="pct"/>
            <w:tcBorders>
              <w:top w:val="single" w:color="auto" w:sz="4" w:space="0"/>
              <w:left w:val="nil"/>
              <w:bottom w:val="nil"/>
              <w:right w:val="nil"/>
            </w:tcBorders>
            <w:vAlign w:val="center"/>
          </w:tcPr>
          <w:p w14:paraId="3F1EBA6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bCs w:val="0"/>
                <w:sz w:val="28"/>
                <w:szCs w:val="28"/>
                <w:vertAlign w:val="baseline"/>
                <w:lang w:val="en-US" w:eastAsia="zh-CN"/>
              </w:rPr>
              <w:t>50％</w:t>
            </w:r>
          </w:p>
        </w:tc>
        <w:tc>
          <w:tcPr>
            <w:tcW w:w="820" w:type="pct"/>
            <w:tcBorders>
              <w:top w:val="single" w:color="auto" w:sz="4" w:space="0"/>
              <w:left w:val="nil"/>
              <w:bottom w:val="nil"/>
              <w:right w:val="nil"/>
            </w:tcBorders>
            <w:vAlign w:val="center"/>
          </w:tcPr>
          <w:p w14:paraId="6BAC0E0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bCs w:val="0"/>
                <w:sz w:val="28"/>
                <w:szCs w:val="28"/>
                <w:vertAlign w:val="baseline"/>
                <w:lang w:val="en-US" w:eastAsia="zh-CN"/>
              </w:rPr>
              <w:t>75％</w:t>
            </w:r>
          </w:p>
        </w:tc>
        <w:tc>
          <w:tcPr>
            <w:tcW w:w="1029" w:type="pct"/>
            <w:tcBorders>
              <w:top w:val="single" w:color="auto" w:sz="4" w:space="0"/>
              <w:left w:val="nil"/>
              <w:bottom w:val="nil"/>
              <w:right w:val="nil"/>
            </w:tcBorders>
            <w:vAlign w:val="center"/>
          </w:tcPr>
          <w:p w14:paraId="7C1B5D4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r>
              <w:rPr>
                <w:rFonts w:hint="eastAsia" w:ascii="宋体" w:hAnsi="宋体" w:eastAsia="宋体" w:cs="宋体"/>
                <w:b/>
                <w:bCs w:val="0"/>
                <w:sz w:val="28"/>
                <w:szCs w:val="28"/>
                <w:vertAlign w:val="baseline"/>
                <w:lang w:val="en-US" w:eastAsia="zh-CN"/>
              </w:rPr>
              <w:t>25％</w:t>
            </w:r>
          </w:p>
        </w:tc>
      </w:tr>
      <w:tr w14:paraId="1D5D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173" w:type="pct"/>
            <w:tcBorders>
              <w:top w:val="nil"/>
              <w:left w:val="nil"/>
              <w:bottom w:val="nil"/>
              <w:right w:val="nil"/>
            </w:tcBorders>
            <w:vAlign w:val="center"/>
          </w:tcPr>
          <w:p w14:paraId="7C06C81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高难度动作尝试率</w:t>
            </w:r>
          </w:p>
        </w:tc>
        <w:tc>
          <w:tcPr>
            <w:tcW w:w="976" w:type="pct"/>
            <w:tcBorders>
              <w:top w:val="nil"/>
              <w:left w:val="nil"/>
              <w:bottom w:val="nil"/>
              <w:right w:val="nil"/>
            </w:tcBorders>
            <w:vAlign w:val="center"/>
          </w:tcPr>
          <w:p w14:paraId="3AB35A9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40％</w:t>
            </w:r>
          </w:p>
        </w:tc>
        <w:tc>
          <w:tcPr>
            <w:tcW w:w="820" w:type="pct"/>
            <w:tcBorders>
              <w:top w:val="nil"/>
              <w:left w:val="nil"/>
              <w:bottom w:val="nil"/>
              <w:right w:val="nil"/>
            </w:tcBorders>
            <w:vAlign w:val="center"/>
          </w:tcPr>
          <w:p w14:paraId="61FCA47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70％</w:t>
            </w:r>
          </w:p>
        </w:tc>
        <w:tc>
          <w:tcPr>
            <w:tcW w:w="1029" w:type="pct"/>
            <w:tcBorders>
              <w:top w:val="nil"/>
              <w:left w:val="nil"/>
              <w:bottom w:val="nil"/>
              <w:right w:val="nil"/>
            </w:tcBorders>
            <w:vAlign w:val="center"/>
          </w:tcPr>
          <w:p w14:paraId="2668EB1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+30％</w:t>
            </w:r>
          </w:p>
        </w:tc>
      </w:tr>
      <w:tr w14:paraId="0681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173" w:type="pct"/>
            <w:tcBorders>
              <w:top w:val="nil"/>
              <w:left w:val="nil"/>
              <w:bottom w:val="nil"/>
              <w:right w:val="nil"/>
            </w:tcBorders>
            <w:vAlign w:val="center"/>
          </w:tcPr>
          <w:p w14:paraId="09D548D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情绪调节能力提升率</w:t>
            </w:r>
          </w:p>
        </w:tc>
        <w:tc>
          <w:tcPr>
            <w:tcW w:w="976" w:type="pct"/>
            <w:tcBorders>
              <w:top w:val="nil"/>
              <w:left w:val="nil"/>
              <w:bottom w:val="nil"/>
              <w:right w:val="nil"/>
            </w:tcBorders>
            <w:vAlign w:val="center"/>
          </w:tcPr>
          <w:p w14:paraId="5AD23A4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w:t>
            </w:r>
          </w:p>
        </w:tc>
        <w:tc>
          <w:tcPr>
            <w:tcW w:w="820" w:type="pct"/>
            <w:tcBorders>
              <w:top w:val="nil"/>
              <w:left w:val="nil"/>
              <w:bottom w:val="nil"/>
              <w:right w:val="nil"/>
            </w:tcBorders>
            <w:vAlign w:val="center"/>
          </w:tcPr>
          <w:p w14:paraId="27BC16F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60％</w:t>
            </w:r>
          </w:p>
        </w:tc>
        <w:tc>
          <w:tcPr>
            <w:tcW w:w="1029" w:type="pct"/>
            <w:tcBorders>
              <w:top w:val="nil"/>
              <w:left w:val="nil"/>
              <w:bottom w:val="nil"/>
              <w:right w:val="nil"/>
            </w:tcBorders>
            <w:vAlign w:val="center"/>
          </w:tcPr>
          <w:p w14:paraId="48446E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w:t>
            </w:r>
          </w:p>
        </w:tc>
      </w:tr>
    </w:tbl>
    <w:p w14:paraId="18F7657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经过一学期的尝试，该校“快乐体操”课程动作规范性达标率提升25%，高难度动作尝试率增加30%，情绪调节能力提升率达60%，显著改善学生心理韧性。</w:t>
      </w:r>
    </w:p>
    <w:p w14:paraId="64CEDE4B">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五、结论</w:t>
      </w:r>
    </w:p>
    <w:p w14:paraId="33A75B3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体心融合视角下小学体育评价范式的转型是促进学生全面发展、契合教育发展趋势的重要举措。通过构建多元化评价指标体系、采用多样化评价方式，能够更全面、准确地评估学生的体育学习成果与综合素养。案例分析表明，这种评价范式转型在提升学生身体素质、改善心理品质、增强社会适应能力等方面取得了显著成效。未来，小学体育评价应继续深化改革，不断完善评价体系，加强教师培训，提高评价的科学性与有效性。同时，进一步探索如何将评价结果更好地应用于教学实践，为学生的健康成长与幸福发展提供更有力的支持。</w:t>
      </w:r>
    </w:p>
    <w:p w14:paraId="71A25A50">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参考文献：</w:t>
      </w:r>
    </w:p>
    <w:p w14:paraId="72ECCF14">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8"/>
          <w:szCs w:val="28"/>
          <w:lang w:val="en-US" w:eastAsia="zh-CN"/>
        </w:rPr>
      </w:pPr>
      <w:bookmarkStart w:id="0" w:name="_Ref1282"/>
      <w:r>
        <w:rPr>
          <w:rFonts w:hint="eastAsia" w:ascii="宋体" w:hAnsi="宋体" w:eastAsia="宋体" w:cs="宋体"/>
          <w:b w:val="0"/>
          <w:bCs w:val="0"/>
          <w:sz w:val="28"/>
          <w:szCs w:val="28"/>
          <w:lang w:val="en-US" w:eastAsia="zh-CN"/>
        </w:rPr>
        <w:t>范丰银.论体育教学中学生心理健康教育的渗透[J].体育风尚，2024（05）：113-115.</w:t>
      </w:r>
      <w:bookmarkEnd w:id="0"/>
    </w:p>
    <w:p w14:paraId="0FF393A4">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8"/>
          <w:szCs w:val="28"/>
          <w:lang w:val="en-US" w:eastAsia="zh-CN"/>
        </w:rPr>
      </w:pPr>
      <w:bookmarkStart w:id="1" w:name="_Ref1233"/>
      <w:r>
        <w:rPr>
          <w:rFonts w:hint="eastAsia" w:ascii="宋体" w:hAnsi="宋体" w:eastAsia="宋体" w:cs="宋体"/>
          <w:b w:val="0"/>
          <w:bCs w:val="0"/>
          <w:sz w:val="28"/>
          <w:szCs w:val="28"/>
          <w:lang w:val="en-US" w:eastAsia="zh-CN"/>
        </w:rPr>
        <w:t>王盈.小学体育心理健康教育与效果评价[J].冰雪体育创新研究，2024 ,5 (17)：124-126.</w:t>
      </w:r>
      <w:bookmarkEnd w:id="1"/>
    </w:p>
    <w:p w14:paraId="1402B54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8"/>
          <w:szCs w:val="28"/>
          <w:lang w:val="en-US" w:eastAsia="zh-CN"/>
        </w:rPr>
      </w:pPr>
      <w:bookmarkStart w:id="2" w:name="_Ref1161"/>
      <w:r>
        <w:rPr>
          <w:rFonts w:hint="eastAsia" w:ascii="宋体" w:hAnsi="宋体" w:eastAsia="宋体" w:cs="宋体"/>
          <w:b w:val="0"/>
          <w:bCs w:val="0"/>
          <w:sz w:val="28"/>
          <w:szCs w:val="28"/>
          <w:lang w:val="en-US" w:eastAsia="zh-CN"/>
        </w:rPr>
        <w:t>林荔敏. 小学体育教学中心理健康教育的融入与实践[J]. 试题与研究</w:t>
      </w:r>
      <w:bookmarkEnd w:id="2"/>
      <w:bookmarkStart w:id="3" w:name="_GoBack"/>
      <w:bookmarkEnd w:id="3"/>
    </w:p>
    <w:p w14:paraId="6575D06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4ADD405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6F0DD9E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1F1A1"/>
    <w:multiLevelType w:val="singleLevel"/>
    <w:tmpl w:val="2891F1A1"/>
    <w:lvl w:ilvl="0" w:tentative="0">
      <w:start w:val="1"/>
      <w:numFmt w:val="decimal"/>
      <w:suff w:val="space"/>
      <w:lvlText w:val="[%1]"/>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ODU4NTI0MmU4MmY2NTk1ODVlNGZlNzRjMjM2MjUifQ=="/>
  </w:docVars>
  <w:rsids>
    <w:rsidRoot w:val="00000000"/>
    <w:rsid w:val="067406C5"/>
    <w:rsid w:val="19E67CB1"/>
    <w:rsid w:val="1BB6133F"/>
    <w:rsid w:val="1F5606CA"/>
    <w:rsid w:val="24530826"/>
    <w:rsid w:val="30A672EA"/>
    <w:rsid w:val="337D1C2C"/>
    <w:rsid w:val="45764C68"/>
    <w:rsid w:val="4FC77868"/>
    <w:rsid w:val="508A00C9"/>
    <w:rsid w:val="694B4BA2"/>
    <w:rsid w:val="6A8077CB"/>
    <w:rsid w:val="6CE07597"/>
    <w:rsid w:val="702A6D7B"/>
    <w:rsid w:val="7345580E"/>
    <w:rsid w:val="7A3A5E0C"/>
    <w:rsid w:val="7AD66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4099</Words>
  <Characters>4254</Characters>
  <Lines>0</Lines>
  <Paragraphs>0</Paragraphs>
  <TotalTime>15</TotalTime>
  <ScaleCrop>false</ScaleCrop>
  <LinksUpToDate>false</LinksUpToDate>
  <CharactersWithSpaces>4291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2024-10-18T13:26:00Z</dcterms:created>
  <dc:creator>55479</dc:creator>
  <cp:lastModifiedBy>lifei</cp:lastModifiedBy>
  <dcterms:modified xsi:type="dcterms:W3CDTF">2025-08-25T04:43:55Z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BCC3CEE440B044CA96772215F91E6844_12</vt:lpwstr>
  </property>
  <property fmtid="{D5CDD505-2E9C-101B-9397-08002B2CF9AE}" pid="4" name="KSOTemplateDocerSaveRecord">
    <vt:lpwstr>eyJoZGlkIjoiZTFiMzMwYzA0MzYwMDE5NTU5NTM1ZWMyYjQ2ZTFkZTQiLCJ1c2VySWQiOiI0MDA3NzQ2MjUifQ==</vt:lpwstr>
  </property>
</Properties>
</file>