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2988"/>
        <w:gridCol w:w="1825"/>
        <w:gridCol w:w="1848"/>
        <w:gridCol w:w="431"/>
        <w:gridCol w:w="1674"/>
      </w:tblGrid>
      <w:tr w14:paraId="26F37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640" w:type="dxa"/>
            <w:vAlign w:val="center"/>
          </w:tcPr>
          <w:p w14:paraId="46966C06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课题名称</w:t>
            </w:r>
          </w:p>
        </w:tc>
        <w:tc>
          <w:tcPr>
            <w:tcW w:w="4813" w:type="dxa"/>
            <w:gridSpan w:val="2"/>
            <w:vAlign w:val="center"/>
          </w:tcPr>
          <w:p w14:paraId="495CCDD9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12.2正确对待顺境和逆境</w:t>
            </w:r>
          </w:p>
        </w:tc>
        <w:tc>
          <w:tcPr>
            <w:tcW w:w="1848" w:type="dxa"/>
            <w:vAlign w:val="center"/>
          </w:tcPr>
          <w:p w14:paraId="73AF0665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授课时间</w:t>
            </w:r>
          </w:p>
        </w:tc>
        <w:tc>
          <w:tcPr>
            <w:tcW w:w="2105" w:type="dxa"/>
            <w:gridSpan w:val="2"/>
            <w:vAlign w:val="center"/>
          </w:tcPr>
          <w:p w14:paraId="6756E8E1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2025.12.17</w:t>
            </w:r>
          </w:p>
        </w:tc>
      </w:tr>
      <w:tr w14:paraId="778AD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640" w:type="dxa"/>
            <w:vAlign w:val="center"/>
          </w:tcPr>
          <w:p w14:paraId="103DEBF7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授课教师</w:t>
            </w:r>
          </w:p>
        </w:tc>
        <w:tc>
          <w:tcPr>
            <w:tcW w:w="4813" w:type="dxa"/>
            <w:gridSpan w:val="2"/>
            <w:vAlign w:val="center"/>
          </w:tcPr>
          <w:p w14:paraId="048BAFCC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张嘉诚</w:t>
            </w:r>
          </w:p>
        </w:tc>
        <w:tc>
          <w:tcPr>
            <w:tcW w:w="1848" w:type="dxa"/>
            <w:vAlign w:val="center"/>
          </w:tcPr>
          <w:p w14:paraId="1BA821B4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授课学校</w:t>
            </w:r>
          </w:p>
        </w:tc>
        <w:tc>
          <w:tcPr>
            <w:tcW w:w="2105" w:type="dxa"/>
            <w:gridSpan w:val="2"/>
            <w:vAlign w:val="center"/>
          </w:tcPr>
          <w:p w14:paraId="6AD1627B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新北区小河中学</w:t>
            </w:r>
          </w:p>
        </w:tc>
      </w:tr>
      <w:tr w14:paraId="35FB2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1640" w:type="dxa"/>
            <w:vAlign w:val="center"/>
          </w:tcPr>
          <w:p w14:paraId="4F72AD46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学习</w:t>
            </w:r>
          </w:p>
          <w:p w14:paraId="0BA5FD34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目标</w:t>
            </w:r>
          </w:p>
        </w:tc>
        <w:tc>
          <w:tcPr>
            <w:tcW w:w="8766" w:type="dxa"/>
            <w:gridSpan w:val="5"/>
            <w:vAlign w:val="center"/>
          </w:tcPr>
          <w:p w14:paraId="4D751CFA">
            <w:pPr>
              <w:spacing w:line="360" w:lineRule="exact"/>
              <w:ind w:firstLine="480" w:firstLineChars="200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1.通过开展顺境逆境辩论会活动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，能够理解顺境和逆境具有双重作用，培养健全人格核心素养；</w:t>
            </w:r>
          </w:p>
          <w:p w14:paraId="01A4C31C">
            <w:pPr>
              <w:spacing w:line="360" w:lineRule="exact"/>
              <w:ind w:firstLine="480" w:firstLineChars="200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2.通过参加苏轼诗词鉴赏会活动，能够学会顺境不骄，逆境不馁，正确对待顺境和逆境，意识到顺境和逆境会相互转化，培养健全人格、文学底蕴等核心素养；</w:t>
            </w:r>
          </w:p>
          <w:p w14:paraId="6DB29949">
            <w:p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3.通过组织写苏式心安良方活动，能够将所学的应对之法有效运用到个人和他人生活之中，从而正确面对现实的境遇，培养健全人格、责任意识等核心素养。</w:t>
            </w:r>
          </w:p>
        </w:tc>
      </w:tr>
      <w:tr w14:paraId="1F64A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640" w:type="dxa"/>
            <w:vAlign w:val="center"/>
          </w:tcPr>
          <w:p w14:paraId="5A5FDED7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学习</w:t>
            </w:r>
          </w:p>
          <w:p w14:paraId="426933E0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重难点</w:t>
            </w:r>
          </w:p>
        </w:tc>
        <w:tc>
          <w:tcPr>
            <w:tcW w:w="8766" w:type="dxa"/>
            <w:gridSpan w:val="5"/>
            <w:vAlign w:val="center"/>
          </w:tcPr>
          <w:p w14:paraId="0535FB75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重点：正确对待顺境和逆境，能够做到顺境不骄，逆境不馁。</w:t>
            </w:r>
          </w:p>
          <w:p w14:paraId="561B7508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难点：正确认识顺境和逆境的作用与关系，顺境和逆境对人生具有双重作用，顺境和逆境在一定条件下会相互转化。</w:t>
            </w:r>
          </w:p>
        </w:tc>
      </w:tr>
      <w:tr w14:paraId="07E14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640" w:type="dxa"/>
            <w:vAlign w:val="center"/>
          </w:tcPr>
          <w:p w14:paraId="3652B184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课前</w:t>
            </w:r>
          </w:p>
          <w:p w14:paraId="5972AB97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准备</w:t>
            </w:r>
          </w:p>
        </w:tc>
        <w:tc>
          <w:tcPr>
            <w:tcW w:w="8766" w:type="dxa"/>
            <w:gridSpan w:val="5"/>
            <w:vAlign w:val="center"/>
          </w:tcPr>
          <w:p w14:paraId="007F6439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教师：制作包含苏轼生平、诗词、人生轨迹图的课件，准备苏轼人生轨迹视频和曲线图，设计制作板书。</w:t>
            </w:r>
          </w:p>
          <w:p w14:paraId="20C14C7D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学生：了解苏轼的生平经历，熟悉经典诗词《定风波》和《饮湖上初晴后雨》创作背景、翻译以及背后内涵。</w:t>
            </w:r>
          </w:p>
        </w:tc>
      </w:tr>
      <w:tr w14:paraId="68190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640" w:type="dxa"/>
            <w:vAlign w:val="center"/>
          </w:tcPr>
          <w:p w14:paraId="39B25903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学习环节</w:t>
            </w:r>
          </w:p>
        </w:tc>
        <w:tc>
          <w:tcPr>
            <w:tcW w:w="2988" w:type="dxa"/>
            <w:vAlign w:val="center"/>
          </w:tcPr>
          <w:p w14:paraId="084B8A9A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情境设计</w:t>
            </w:r>
          </w:p>
        </w:tc>
        <w:tc>
          <w:tcPr>
            <w:tcW w:w="1825" w:type="dxa"/>
            <w:vAlign w:val="center"/>
          </w:tcPr>
          <w:p w14:paraId="4FB996F8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问题设计</w:t>
            </w:r>
          </w:p>
        </w:tc>
        <w:tc>
          <w:tcPr>
            <w:tcW w:w="2279" w:type="dxa"/>
            <w:gridSpan w:val="2"/>
            <w:vAlign w:val="center"/>
          </w:tcPr>
          <w:p w14:paraId="75C23E03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活动设计</w:t>
            </w:r>
          </w:p>
        </w:tc>
        <w:tc>
          <w:tcPr>
            <w:tcW w:w="1674" w:type="dxa"/>
            <w:vAlign w:val="center"/>
          </w:tcPr>
          <w:p w14:paraId="63F0EB95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反馈设计</w:t>
            </w:r>
          </w:p>
        </w:tc>
      </w:tr>
      <w:tr w14:paraId="68DAA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6" w:hRule="atLeast"/>
          <w:jc w:val="center"/>
        </w:trPr>
        <w:tc>
          <w:tcPr>
            <w:tcW w:w="1640" w:type="dxa"/>
            <w:vAlign w:val="center"/>
          </w:tcPr>
          <w:p w14:paraId="1E72376F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环节一：</w:t>
            </w:r>
          </w:p>
          <w:p w14:paraId="35EEE38D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重走东坡路·起起伏伏何为人生？</w:t>
            </w:r>
          </w:p>
        </w:tc>
        <w:tc>
          <w:tcPr>
            <w:tcW w:w="2988" w:type="dxa"/>
            <w:vAlign w:val="top"/>
          </w:tcPr>
          <w:p w14:paraId="5DBA246A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课堂导入</w:t>
            </w:r>
          </w:p>
          <w:p w14:paraId="6C86FF04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【小游戏·你说我猜】</w:t>
            </w:r>
          </w:p>
          <w:p w14:paraId="060F8CEF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三个关键词:宋朝著名文学家；与常州颇有渊源；发明了一道美食。</w:t>
            </w:r>
          </w:p>
          <w:p w14:paraId="717BFF7E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播放苏轼人生轨迹视频</w:t>
            </w:r>
          </w:p>
          <w:p w14:paraId="13280D76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呈现苏轼人生曲线详图</w:t>
            </w:r>
          </w:p>
          <w:p w14:paraId="3373D761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55880</wp:posOffset>
                  </wp:positionV>
                  <wp:extent cx="1847850" cy="1096645"/>
                  <wp:effectExtent l="0" t="0" r="11430" b="635"/>
                  <wp:wrapSquare wrapText="bothSides"/>
                  <wp:docPr id="7" name="图片 1" descr="扫描全能王 2025-12-11 00.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 descr="扫描全能王 2025-12-11 00.2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6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096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82F80CD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【两种人生状态】</w:t>
            </w:r>
          </w:p>
          <w:p w14:paraId="0DA61544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波澜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壮阔</w:t>
            </w: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的人生之路，鲜花与荆棘同在。</w:t>
            </w:r>
          </w:p>
          <w:p w14:paraId="62FDF908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509905</wp:posOffset>
                  </wp:positionV>
                  <wp:extent cx="1801495" cy="780415"/>
                  <wp:effectExtent l="0" t="0" r="12065" b="12065"/>
                  <wp:wrapSquare wrapText="bothSides"/>
                  <wp:docPr id="3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495" cy="780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2.一帆风顺的人生之路，未来正繁花似锦。</w:t>
            </w:r>
          </w:p>
        </w:tc>
        <w:tc>
          <w:tcPr>
            <w:tcW w:w="1825" w:type="dxa"/>
            <w:vAlign w:val="top"/>
          </w:tcPr>
          <w:p w14:paraId="260B3F58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6576986C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猜猜今天这个大人物是谁？</w:t>
            </w:r>
          </w:p>
          <w:p w14:paraId="792F2712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3027927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010B8F53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结合苏轼人生曲线图，从地理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学科视角</w:t>
            </w: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谈谈这些人生阶段分为哪两类？</w:t>
            </w:r>
          </w:p>
          <w:p w14:paraId="43FBAE92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64C8CE45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参照苏轼人生曲线图，尝试画一下自己的人生曲线图并上台展示。</w:t>
            </w:r>
          </w:p>
          <w:p w14:paraId="7AEF27F1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0C4CCDBB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如果你可以决定自己的人生旅程，你的选择是什么？简要说明理由。</w:t>
            </w:r>
          </w:p>
        </w:tc>
        <w:tc>
          <w:tcPr>
            <w:tcW w:w="2279" w:type="dxa"/>
            <w:gridSpan w:val="2"/>
            <w:vAlign w:val="top"/>
          </w:tcPr>
          <w:p w14:paraId="015036A7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809ADFD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你说我猜小游戏</w:t>
            </w:r>
          </w:p>
          <w:p w14:paraId="68BD31C7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1B01EC9E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282F761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2D6972BB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【顺境逆境辩论会】</w:t>
            </w:r>
          </w:p>
          <w:p w14:paraId="2C246955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【辩题】</w:t>
            </w:r>
          </w:p>
          <w:p w14:paraId="5C14CE40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正方：顺境有利于人生VS反方：逆境有利于人生</w:t>
            </w:r>
          </w:p>
          <w:p w14:paraId="34733A6B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【要求】</w:t>
            </w:r>
          </w:p>
          <w:p w14:paraId="3A544287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准备</w:t>
            </w: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时间3分钟</w:t>
            </w:r>
          </w:p>
          <w:p w14:paraId="537B1794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以5—6</w:t>
            </w: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人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为小组</w:t>
            </w: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，讨论确定本组支持何方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以及</w:t>
            </w: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支持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与驳理由</w:t>
            </w: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；</w:t>
            </w:r>
          </w:p>
          <w:p w14:paraId="262E5EAE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2.选出一名记录员，记录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归纳</w:t>
            </w: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总结理由；</w:t>
            </w:r>
          </w:p>
          <w:p w14:paraId="39D261F0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3.选出一名发言人，交流发表本组观点。</w:t>
            </w:r>
          </w:p>
          <w:p w14:paraId="02FB751A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04D2A235">
            <w:pPr>
              <w:spacing w:line="360" w:lineRule="exact"/>
              <w:ind w:firstLine="480" w:firstLineChars="200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设计辩论会表现性评价量表，从小组合作、语言表达和思维逻辑三个维度评价，具体评价指标：讨论热烈、参与充分；洪亮清晰、流畅通顺；逻辑严谨，论证有理。</w:t>
            </w:r>
          </w:p>
          <w:p w14:paraId="7E476011">
            <w:pPr>
              <w:spacing w:line="360" w:lineRule="exact"/>
              <w:ind w:firstLine="480" w:firstLineChars="200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采用自评和小组互评相结合，使用打星直观形式。</w:t>
            </w:r>
          </w:p>
          <w:p w14:paraId="7ACD3234">
            <w:p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落实教学评一致性原则，以评促学，以评促教，以评育人。</w:t>
            </w:r>
          </w:p>
        </w:tc>
      </w:tr>
      <w:tr w14:paraId="00C8E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2" w:hRule="atLeast"/>
          <w:jc w:val="center"/>
        </w:trPr>
        <w:tc>
          <w:tcPr>
            <w:tcW w:w="1640" w:type="dxa"/>
            <w:vAlign w:val="center"/>
          </w:tcPr>
          <w:p w14:paraId="75EB63B4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环节二：</w:t>
            </w:r>
          </w:p>
          <w:p w14:paraId="6AFD5E4D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学习东坡词·风雨晴日何以应对？</w:t>
            </w:r>
          </w:p>
        </w:tc>
        <w:tc>
          <w:tcPr>
            <w:tcW w:w="2988" w:type="dxa"/>
            <w:vAlign w:val="center"/>
          </w:tcPr>
          <w:p w14:paraId="3A8032AC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【聚焦两种境遇】</w:t>
            </w:r>
          </w:p>
          <w:p w14:paraId="1AF432DF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典型逆境：乌台诗案，反对新政，被贬黄州</w:t>
            </w:r>
          </w:p>
          <w:p w14:paraId="2F3DB168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典型顺境：杭州太守、吏部尚书、扬州太守</w:t>
            </w:r>
          </w:p>
          <w:p w14:paraId="709C5C88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1.播放AI视频，交代两首诗词创作的历史背景</w:t>
            </w:r>
          </w:p>
          <w:p w14:paraId="76559476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2.呈现《定风坡》和《饮湖上初晴后雨》两首诗词</w:t>
            </w:r>
          </w:p>
          <w:p w14:paraId="368309DC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331470</wp:posOffset>
                  </wp:positionV>
                  <wp:extent cx="1847850" cy="1096645"/>
                  <wp:effectExtent l="0" t="0" r="11430" b="635"/>
                  <wp:wrapSquare wrapText="bothSides"/>
                  <wp:docPr id="4" name="图片 1" descr="扫描全能王 2025-12-11 00.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扫描全能王 2025-12-11 00.2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6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096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呈现苏轼人生曲线详图</w:t>
            </w:r>
          </w:p>
        </w:tc>
        <w:tc>
          <w:tcPr>
            <w:tcW w:w="1825" w:type="dxa"/>
            <w:vAlign w:val="center"/>
          </w:tcPr>
          <w:p w14:paraId="3C48CD7E">
            <w:pPr>
              <w:jc w:val="both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结合历史背景和诗词，指出苏轼在人生逆境和顺境中的做法对你的启示。</w:t>
            </w:r>
          </w:p>
          <w:p w14:paraId="6DDFBE33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538D249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如果苏轼在被贬黄州时未做到逆境不馁，会如何?</w:t>
            </w:r>
          </w:p>
          <w:p w14:paraId="3AF64A4B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如果苏轼在任职杭州时未做到顺境不骄，又会如何？</w:t>
            </w:r>
          </w:p>
          <w:p w14:paraId="55594D12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请画出走向趋势图。</w:t>
            </w:r>
          </w:p>
        </w:tc>
        <w:tc>
          <w:tcPr>
            <w:tcW w:w="2279" w:type="dxa"/>
            <w:gridSpan w:val="2"/>
            <w:vAlign w:val="center"/>
          </w:tcPr>
          <w:p w14:paraId="5835A7DF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【</w:t>
            </w: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苏轼诗词鉴赏会】</w:t>
            </w:r>
          </w:p>
          <w:p w14:paraId="1D474D68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【要求】</w:t>
            </w:r>
          </w:p>
          <w:p w14:paraId="0C98C5E3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准备时间2分钟</w:t>
            </w:r>
          </w:p>
          <w:p w14:paraId="1B970D40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1.结合历史背景，把握关键信息；</w:t>
            </w:r>
          </w:p>
          <w:p w14:paraId="071838F1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2.锁定关键词句，探究人生启示。</w:t>
            </w:r>
          </w:p>
        </w:tc>
        <w:tc>
          <w:tcPr>
            <w:tcW w:w="1674" w:type="dxa"/>
            <w:vAlign w:val="center"/>
          </w:tcPr>
          <w:p w14:paraId="69ED9978">
            <w:p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巡组指导，提醒学生关注历史背景中的具体行为，鼓励学生借助诗词翻译，理解苏轼顺境逆境的所作所为，从而深入探究。</w:t>
            </w:r>
          </w:p>
        </w:tc>
      </w:tr>
      <w:tr w14:paraId="4F256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0" w:type="dxa"/>
            <w:vAlign w:val="center"/>
          </w:tcPr>
          <w:p w14:paraId="1DEA46F8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环节三：</w:t>
            </w:r>
          </w:p>
          <w:p w14:paraId="26FEF8E8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成为东坡人·我何以心安成吾乡？</w:t>
            </w:r>
          </w:p>
        </w:tc>
        <w:tc>
          <w:tcPr>
            <w:tcW w:w="2988" w:type="dxa"/>
            <w:vAlign w:val="top"/>
          </w:tcPr>
          <w:p w14:paraId="5358CB88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【聚焦当下境遇】</w:t>
            </w:r>
          </w:p>
          <w:p w14:paraId="1BB63EE7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“苏”人们过上了“苏”式生活，这个夏天的“苏超”就是最生动的注脚。</w:t>
            </w:r>
          </w:p>
          <w:p w14:paraId="3661B424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播放苏超决赛解说视频：人生就像这场决赛，有时要像南通队锐意进取，有时要像泰州队隐忍坚韧，最重要的是，无论顺境还是逆境，都要保持向前奔跑的姿态。</w:t>
            </w:r>
          </w:p>
          <w:tbl>
            <w:tblPr>
              <w:tblStyle w:val="3"/>
              <w:tblpPr w:leftFromText="180" w:rightFromText="180" w:vertAnchor="text" w:horzAnchor="page" w:tblpX="1390" w:tblpY="32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00"/>
              <w:gridCol w:w="500"/>
              <w:gridCol w:w="500"/>
            </w:tblGrid>
            <w:tr w14:paraId="1897BA7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47" w:hRule="atLeast"/>
              </w:trPr>
              <w:tc>
                <w:tcPr>
                  <w:tcW w:w="500" w:type="dxa"/>
                  <w:vAlign w:val="center"/>
                </w:tcPr>
                <w:p w14:paraId="3BD78C7D">
                  <w:pPr>
                    <w:jc w:val="center"/>
                    <w:rPr>
                      <w:rFonts w:hint="eastAsia" w:ascii="楷体" w:hAnsi="楷体" w:eastAsia="楷体" w:cs="楷体"/>
                      <w:sz w:val="24"/>
                      <w:szCs w:val="3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32"/>
                      <w:lang w:val="en-US" w:eastAsia="zh-CN"/>
                    </w:rPr>
                    <w:t>一蓑烟雨任平生</w:t>
                  </w:r>
                </w:p>
              </w:tc>
              <w:tc>
                <w:tcPr>
                  <w:tcW w:w="500" w:type="dxa"/>
                  <w:vAlign w:val="center"/>
                </w:tcPr>
                <w:p w14:paraId="427929FE">
                  <w:pPr>
                    <w:jc w:val="center"/>
                    <w:rPr>
                      <w:rFonts w:hint="eastAsia" w:ascii="楷体" w:hAnsi="楷体" w:eastAsia="楷体" w:cs="楷体"/>
                      <w:sz w:val="24"/>
                      <w:szCs w:val="3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32"/>
                      <w:lang w:val="en-US" w:eastAsia="zh-CN"/>
                    </w:rPr>
                    <w:t>不识庐山真面目</w:t>
                  </w:r>
                </w:p>
              </w:tc>
              <w:tc>
                <w:tcPr>
                  <w:tcW w:w="500" w:type="dxa"/>
                  <w:vAlign w:val="center"/>
                </w:tcPr>
                <w:p w14:paraId="2523568A">
                  <w:pPr>
                    <w:jc w:val="center"/>
                    <w:rPr>
                      <w:rFonts w:hint="eastAsia" w:ascii="楷体" w:hAnsi="楷体" w:eastAsia="楷体" w:cs="楷体"/>
                      <w:sz w:val="24"/>
                      <w:szCs w:val="3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32"/>
                      <w:lang w:val="en-US" w:eastAsia="zh-CN"/>
                    </w:rPr>
                    <w:t>竹杖芒鞋轻胜马</w:t>
                  </w:r>
                </w:p>
              </w:tc>
            </w:tr>
            <w:tr w14:paraId="106E64D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56" w:hRule="atLeast"/>
              </w:trPr>
              <w:tc>
                <w:tcPr>
                  <w:tcW w:w="500" w:type="dxa"/>
                  <w:vAlign w:val="center"/>
                </w:tcPr>
                <w:p w14:paraId="36FFC4F0">
                  <w:pPr>
                    <w:jc w:val="center"/>
                    <w:rPr>
                      <w:rFonts w:hint="default" w:ascii="楷体" w:hAnsi="楷体" w:eastAsia="楷体" w:cs="楷体"/>
                      <w:sz w:val="24"/>
                      <w:szCs w:val="3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32"/>
                      <w:vertAlign w:val="baseline"/>
                      <w:lang w:val="en-US" w:eastAsia="zh-CN"/>
                    </w:rPr>
                    <w:t>人间有味是清欢</w:t>
                  </w:r>
                </w:p>
              </w:tc>
              <w:tc>
                <w:tcPr>
                  <w:tcW w:w="500" w:type="dxa"/>
                  <w:vAlign w:val="center"/>
                </w:tcPr>
                <w:p w14:paraId="6F6450BB">
                  <w:pPr>
                    <w:jc w:val="center"/>
                    <w:rPr>
                      <w:rFonts w:hint="default" w:ascii="楷体" w:hAnsi="楷体" w:eastAsia="楷体" w:cs="楷体"/>
                      <w:sz w:val="24"/>
                      <w:szCs w:val="3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32"/>
                      <w:vertAlign w:val="baseline"/>
                      <w:lang w:val="en-US" w:eastAsia="zh-CN"/>
                    </w:rPr>
                    <w:t>也无风雨也无晴</w:t>
                  </w:r>
                </w:p>
              </w:tc>
              <w:tc>
                <w:tcPr>
                  <w:tcW w:w="500" w:type="dxa"/>
                  <w:vAlign w:val="center"/>
                </w:tcPr>
                <w:p w14:paraId="051C760D">
                  <w:pPr>
                    <w:jc w:val="center"/>
                    <w:rPr>
                      <w:rFonts w:hint="default" w:ascii="楷体" w:hAnsi="楷体" w:eastAsia="楷体" w:cs="楷体"/>
                      <w:sz w:val="24"/>
                      <w:szCs w:val="3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32"/>
                      <w:vertAlign w:val="baseline"/>
                      <w:lang w:val="en-US" w:eastAsia="zh-CN"/>
                    </w:rPr>
                    <w:t>此心安处是吾乡</w:t>
                  </w:r>
                </w:p>
              </w:tc>
            </w:tr>
          </w:tbl>
          <w:p w14:paraId="7411D98F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【范例】</w:t>
            </w:r>
          </w:p>
          <w:p w14:paraId="335D2181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亲人离别是逆境；</w:t>
            </w:r>
          </w:p>
          <w:p w14:paraId="20DA8533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苏式配方：但愿人长久，千里共婵娟</w:t>
            </w:r>
          </w:p>
          <w:p w14:paraId="68831714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启示：我们要正视人生离别常态，不拘泥于悲欢。</w:t>
            </w:r>
          </w:p>
          <w:p w14:paraId="1D785A30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5" w:type="dxa"/>
            <w:vAlign w:val="top"/>
          </w:tcPr>
          <w:p w14:paraId="55519E5B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6AE10FB4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4B11911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746254F5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66197CBD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09F99FB0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94E7FEA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20474A4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A4ED3BA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76430BEC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DF4414C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个人的顺境和逆境有何配方，有何启示？</w:t>
            </w:r>
          </w:p>
          <w:p w14:paraId="7D6486CD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70F965E2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考试满分、比赛失利、家境贫寒三种典型境遇有何配方？有何启示？</w:t>
            </w:r>
          </w:p>
        </w:tc>
        <w:tc>
          <w:tcPr>
            <w:tcW w:w="2279" w:type="dxa"/>
            <w:gridSpan w:val="2"/>
            <w:vAlign w:val="top"/>
          </w:tcPr>
          <w:p w14:paraId="49DEDB53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2D298DDC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CD0F86B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0B943997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1A9CBC33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7439BB38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6A95D3F9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2A754908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18ABF4DC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63C43407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1C61B585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【</w:t>
            </w: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开苏式心安良方】</w:t>
            </w:r>
          </w:p>
          <w:p w14:paraId="2BE3ECB8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【要求】</w:t>
            </w:r>
          </w:p>
          <w:p w14:paraId="57E7D9A4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1.参照范例，结合你的人生曲线图，判断不同的境遇，配上苏轼的诗词，并写下相应的具体启示，时间2分钟</w:t>
            </w:r>
          </w:p>
          <w:p w14:paraId="0BA48EEF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2.写好后小组交流，代表总结发言。</w:t>
            </w:r>
          </w:p>
          <w:p w14:paraId="6E81EAB5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top"/>
          </w:tcPr>
          <w:p w14:paraId="3A8B323C">
            <w:p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2CB59752">
            <w:p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1BD9DDA3">
            <w:p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2009FC1F">
            <w:p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C16E594">
            <w:p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E9BBB2A">
            <w:p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1FDEC81C">
            <w:p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2E2B664">
            <w:p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0C13DE10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04F5CA64">
            <w:pPr>
              <w:spacing w:line="360" w:lineRule="exact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7C41F371">
            <w:p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点评学生的“苏式心安良方”，肯定贴合苏轼精神的创作，补充诗词运用的优化建议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，促使学生将所学大概念内化于心，落地为行。</w:t>
            </w:r>
          </w:p>
        </w:tc>
      </w:tr>
      <w:tr w14:paraId="4B42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0" w:hRule="atLeast"/>
          <w:jc w:val="center"/>
        </w:trPr>
        <w:tc>
          <w:tcPr>
            <w:tcW w:w="1640" w:type="dxa"/>
            <w:vAlign w:val="center"/>
          </w:tcPr>
          <w:p w14:paraId="1E772469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结构化</w:t>
            </w:r>
          </w:p>
          <w:p w14:paraId="297B0E2B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知识设计</w:t>
            </w:r>
          </w:p>
          <w:p w14:paraId="5D1DF859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（板书设计）</w:t>
            </w:r>
          </w:p>
        </w:tc>
        <w:tc>
          <w:tcPr>
            <w:tcW w:w="8766" w:type="dxa"/>
            <w:gridSpan w:val="5"/>
            <w:vAlign w:val="center"/>
          </w:tcPr>
          <w:p w14:paraId="3F533A7E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746760</wp:posOffset>
                  </wp:positionH>
                  <wp:positionV relativeFrom="paragraph">
                    <wp:posOffset>-266700</wp:posOffset>
                  </wp:positionV>
                  <wp:extent cx="3773170" cy="3668395"/>
                  <wp:effectExtent l="0" t="0" r="6350" b="4445"/>
                  <wp:wrapSquare wrapText="bothSides"/>
                  <wp:docPr id="2" name="图片 2" descr="qq_pic_merged_1766054496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qq_pic_merged_1766054496336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lum bright="6000" contrast="2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3170" cy="3668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BB51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4" w:hRule="atLeast"/>
          <w:jc w:val="center"/>
        </w:trPr>
        <w:tc>
          <w:tcPr>
            <w:tcW w:w="1640" w:type="dxa"/>
            <w:vAlign w:val="center"/>
          </w:tcPr>
          <w:p w14:paraId="431E3C88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教学</w:t>
            </w:r>
          </w:p>
          <w:p w14:paraId="4E98B546">
            <w:pPr>
              <w:spacing w:line="360" w:lineRule="exact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  <w:t>反思</w:t>
            </w:r>
          </w:p>
        </w:tc>
        <w:tc>
          <w:tcPr>
            <w:tcW w:w="8766" w:type="dxa"/>
            <w:gridSpan w:val="5"/>
            <w:vAlign w:val="center"/>
          </w:tcPr>
          <w:p w14:paraId="7AC7645C">
            <w:pPr>
              <w:numPr>
                <w:ilvl w:val="0"/>
                <w:numId w:val="0"/>
              </w:numPr>
              <w:spacing w:line="360" w:lineRule="exact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1.亮点：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整节课议题线、情境线、任务线、素养线和评价线有机融合，大情境创设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一以贯之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，素材选取兼具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典型性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与文学性，渗透跨学科理念，大活动创设兼具学理性与趣味性，在体验中学习，寓教于乐，寓学于趣，大任务设置兼具思辨性与针对性，激发学生深度学习，生发核心素养。板书设计颇具匠心，将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学科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大概念有机组合为一个“苏”字，既彰显苏轼大情境的教学亮点，还突出本课时的教学重难点。</w:t>
            </w:r>
          </w:p>
          <w:p w14:paraId="63D701D2">
            <w:pPr>
              <w:numPr>
                <w:ilvl w:val="0"/>
                <w:numId w:val="0"/>
              </w:numPr>
              <w:spacing w:line="360" w:lineRule="exact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26646DCE">
            <w:pPr>
              <w:numPr>
                <w:ilvl w:val="0"/>
                <w:numId w:val="0"/>
              </w:numPr>
              <w:spacing w:line="360" w:lineRule="exact"/>
              <w:ind w:firstLine="480" w:firstLineChars="200"/>
              <w:jc w:val="both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2.不足：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教学节奏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把握不准，出现前松后紧问题，要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精简教学素材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合理安排教学时间；学情分析不够透彻，融入地理、语文等跨学科教学要素时，任务驱动失效，素材理解不清，学生未能够有效借助跨学科资源开展小组活动，探究学习任务，导致学习浅层而不深入，素养生成单一而不综合，要尝试多师课堂教学，由专业教师搭建资源平台，直接为学生学习提供跨学科的学习资源与学科思维。</w:t>
            </w:r>
          </w:p>
        </w:tc>
      </w:tr>
    </w:tbl>
    <w:p w14:paraId="6B4AB930"/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kYzZmYTcwNDQ1MDgyY2RkNDkyYzc1ZjZjYTkwY2YifQ=="/>
  </w:docVars>
  <w:rsids>
    <w:rsidRoot w:val="00172A27"/>
    <w:rsid w:val="06560E11"/>
    <w:rsid w:val="12677AE8"/>
    <w:rsid w:val="249E5AE2"/>
    <w:rsid w:val="40D42F2C"/>
    <w:rsid w:val="634D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1975</Words>
  <Characters>1996</Characters>
  <Lines>0</Lines>
  <Paragraphs>0</Paragraphs>
  <TotalTime>104</TotalTime>
  <ScaleCrop>false</ScaleCrop>
  <LinksUpToDate>false</LinksUpToDate>
  <CharactersWithSpaces>1996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2024-11-24T10:52:00Z</dcterms:created>
  <dc:creator>第九周期元素</dc:creator>
  <cp:lastModifiedBy>大考拉</cp:lastModifiedBy>
  <dcterms:modified xsi:type="dcterms:W3CDTF">2025-12-22T11:34:50Z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FC2C56A5E8E7419587BAEA29C178DCED_13</vt:lpwstr>
  </property>
  <property fmtid="{D5CDD505-2E9C-101B-9397-08002B2CF9AE}" pid="4" name="KSOTemplateDocerSaveRecord">
    <vt:lpwstr>eyJoZGlkIjoiYWU3OWMyMjFjMDU1YzczN2I3ZTUzYWNlMDM3OGJmZjEiLCJ1c2VySWQiOiIzMzQyODYwMjMifQ==</vt:lpwstr>
  </property>
</Properties>
</file>