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1F2329"/>
          <w:sz w:val="24"/>
          <w:szCs w:val="24"/>
          <w:lang w:val="en-US" w:eastAsia="zh-CN"/>
        </w:rPr>
      </w:pPr>
      <w:r>
        <w:rPr>
          <w:color w:val="1F2329"/>
          <w:sz w:val="30"/>
          <w:szCs w:val="30"/>
        </w:rPr>
        <w:t>漕桥小学第七届第十四次教职工大会提案</w:t>
      </w:r>
      <w:r>
        <w:rPr>
          <w:rFonts w:hint="eastAsia"/>
          <w:color w:val="1F2329"/>
          <w:sz w:val="30"/>
          <w:szCs w:val="30"/>
          <w:lang w:val="en-US" w:eastAsia="zh-CN"/>
        </w:rPr>
        <w:t>及意见回复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标题：关于完善章程及议事规则配套实施细节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提案：现行章程及议事规则已明确核心框架，但部分条款缺乏具体实施细则。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建议：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修订章程“人事管理”章节，新增 “学校每年安排不低于年度公用经费 5% 的资金用于教职工专业发展培训，制定分层分类培训计划，覆盖骨干教师培养、青年教师帮扶等内容”；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   答复：目前学校在教职工培训上的经费一直是按上级要求来执行，不低于年度公用经费的5%，培训计划及帮扶内容，学校在每学年初都会制定相应的计划。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完善“家校社协同育人”相关条款，明确“家长委员会每学期召开不少于2次专题会议，对食堂管理、校服选用、课后服务等事项拥有审议建议权，审议结果作为校长办公会议决策参考”；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答复：在食堂管理、校服选用等方面，学校一直尊重家长的意愿，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成立了相应的家长膳食委会员、校服征订家长委员会等，充分听取家长的意见和建议，家校协同育人工作有序推进。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优化党支部委员会会议议事规则，补充“重要议题提前 3 个工作日公示，大额资金使用、干部任免等议题需邀请 2 名以上教职工代表列席会议”；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答复：根据上级文件精神要求，学校历年来的三重一大事情都召开党支部委员会会议商议，商议结果也同步传达到每位教师。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在校长办公会议议事规则中明确“0.5万元-1万元资金支出需由教职工代表列席监督，青蓝工程考核结果与师徒双方绩效工资直接挂钩”；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答复：大金额资金的支出，每年都有教职工代表参加内审，青蓝工程有相应的考核制度，学校也一直是按此制度实施。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章程中补充 “校产每学期清查 1 次，清查结果经党支部委员会会议审议后向教职工公示”。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答复：学校资产每次清查结束，都会出具相应的清查报告，并公示在校园橱窗。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内审机构每学期对大额资金使用情况开展专项审计，审计结果向教职工代表公示，对违规使用情况依法依规追责；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color w:val="1F2329"/>
          <w:sz w:val="24"/>
          <w:szCs w:val="24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答复：审计结果每年都通过教师大会向教职工公示。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1F2329"/>
          <w:sz w:val="24"/>
          <w:szCs w:val="24"/>
        </w:rPr>
      </w:pPr>
    </w:p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018B5"/>
    <w:multiLevelType w:val="singleLevel"/>
    <w:tmpl w:val="7D6018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33D7D"/>
    <w:rsid w:val="16FA066B"/>
    <w:rsid w:val="3703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2026-01-05T23:10:00Z</dcterms:created>
  <dc:creator>ct</dc:creator>
  <cp:lastModifiedBy>ct</cp:lastModifiedBy>
  <dcterms:modified xsi:type="dcterms:W3CDTF">2026-01-06T06:08:54Z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A942F79460364FB083B37F394A295E84</vt:lpwstr>
  </property>
</Properties>
</file>