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A0551">
      <w:pPr>
        <w:jc w:val="center"/>
        <w:rPr>
          <w:rFonts w:ascii="微软雅黑" w:hAnsi="微软雅黑" w:eastAsia="微软雅黑" w:cs="微软雅黑"/>
          <w:b/>
          <w:bCs/>
          <w:color w:val="FF0000"/>
          <w:sz w:val="40"/>
          <w:szCs w:val="40"/>
        </w:rPr>
      </w:pPr>
      <w:r>
        <w:rPr>
          <w:rFonts w:hint="eastAsia" w:ascii="微软雅黑" w:hAnsi="微软雅黑" w:eastAsia="微软雅黑" w:cs="微软雅黑"/>
          <w:b/>
          <w:bCs/>
          <w:color w:val="FF0000"/>
          <w:sz w:val="40"/>
          <w:szCs w:val="40"/>
        </w:rPr>
        <w:t>常州市新北区</w:t>
      </w:r>
      <w:r>
        <w:rPr>
          <w:rFonts w:hint="eastAsia" w:ascii="微软雅黑" w:hAnsi="微软雅黑" w:eastAsia="微软雅黑" w:cs="微软雅黑"/>
          <w:b/>
          <w:bCs/>
          <w:color w:val="FF0000"/>
          <w:sz w:val="40"/>
          <w:szCs w:val="40"/>
          <w:lang w:val="en-US" w:eastAsia="zh-CN"/>
        </w:rPr>
        <w:t>学前教育徐志国</w:t>
      </w:r>
      <w:r>
        <w:rPr>
          <w:rFonts w:hint="eastAsia" w:ascii="微软雅黑" w:hAnsi="微软雅黑" w:eastAsia="微软雅黑" w:cs="微软雅黑"/>
          <w:b/>
          <w:bCs/>
          <w:color w:val="FF0000"/>
          <w:sz w:val="40"/>
          <w:szCs w:val="40"/>
        </w:rPr>
        <w:t>卓越教师成长营</w:t>
      </w:r>
    </w:p>
    <w:p w14:paraId="28672522">
      <w:pPr>
        <w:jc w:val="center"/>
        <w:rPr>
          <w:rFonts w:hint="eastAsia" w:ascii="微软雅黑" w:hAnsi="微软雅黑" w:eastAsia="微软雅黑" w:cs="微软雅黑"/>
          <w:b/>
          <w:bCs/>
          <w:color w:val="FF0000"/>
          <w:sz w:val="40"/>
          <w:szCs w:val="40"/>
        </w:rPr>
      </w:pPr>
      <w:r>
        <w:rPr>
          <w:rFonts w:hint="eastAsia" w:ascii="微软雅黑" w:hAnsi="微软雅黑" w:eastAsia="微软雅黑" w:cs="微软雅黑"/>
          <w:b/>
          <w:bCs/>
          <w:color w:val="FF0000"/>
          <w:sz w:val="40"/>
          <w:szCs w:val="40"/>
        </w:rPr>
        <w:t>活动简报</w:t>
      </w:r>
    </w:p>
    <w:p w14:paraId="396BB93D">
      <w:pPr>
        <w:jc w:val="center"/>
        <w:rPr>
          <w:rFonts w:hint="default" w:ascii="Calibri" w:hAnsi="Calibri" w:eastAsia="宋体" w:cs="宋体"/>
          <w:b/>
          <w:bCs/>
          <w:color w:val="000000"/>
          <w:sz w:val="24"/>
          <w:lang w:val="en-US" w:eastAsia="zh-CN"/>
        </w:rPr>
      </w:pPr>
      <w:r>
        <w:rPr>
          <w:rFonts w:hint="eastAsia" w:ascii="Calibri" w:hAnsi="Calibri" w:eastAsia="宋体" w:cs="宋体"/>
          <w:b/>
          <w:bCs/>
          <w:color w:val="000000"/>
          <w:sz w:val="24"/>
          <w:lang w:val="en-US" w:eastAsia="zh-CN"/>
        </w:rPr>
        <w:t>本期主题：深耕实践守初心 赋能成长向未来 主持人：徐惠芬 本期编辑：蒋侃</w:t>
      </w:r>
    </w:p>
    <w:p w14:paraId="681C2FE2">
      <w:pPr>
        <w:jc w:val="center"/>
        <w:rPr>
          <w:rFonts w:ascii="Calibri" w:hAnsi="Calibri" w:eastAsia="宋体" w:cs="宋体"/>
          <w:color w:val="FF0000"/>
          <w:sz w:val="40"/>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page">
                  <wp:posOffset>3932555</wp:posOffset>
                </wp:positionH>
                <wp:positionV relativeFrom="paragraph">
                  <wp:posOffset>189865</wp:posOffset>
                </wp:positionV>
                <wp:extent cx="2560320" cy="0"/>
                <wp:effectExtent l="0" t="0" r="0" b="0"/>
                <wp:wrapNone/>
                <wp:docPr id="1" name="直接连接符 2"/>
                <wp:cNvGraphicFramePr/>
                <a:graphic xmlns:a="http://schemas.openxmlformats.org/drawingml/2006/main">
                  <a:graphicData uri="http://schemas.microsoft.com/office/word/2010/wordprocessingShape">
                    <wps:wsp>
                      <wps:cNvCnPr/>
                      <wps:spPr>
                        <a:xfrm>
                          <a:off x="0" y="0"/>
                          <a:ext cx="2560320" cy="0"/>
                        </a:xfrm>
                        <a:prstGeom prst="line">
                          <a:avLst/>
                        </a:prstGeom>
                        <a:ln w="25400" cap="flat" cmpd="sng">
                          <a:solidFill>
                            <a:srgbClr val="FF0000"/>
                          </a:solidFill>
                          <a:prstDash val="solid"/>
                          <a:headEnd type="none" w="med" len="med"/>
                          <a:tailEnd type="none" w="med" len="med"/>
                        </a:ln>
                      </wps:spPr>
                      <wps:bodyPr rot="0" vert="horz" wrap="square" lIns="91440" tIns="45720" rIns="91440" bIns="45720" anchor="t" anchorCtr="0"/>
                    </wps:wsp>
                  </a:graphicData>
                </a:graphic>
              </wp:anchor>
            </w:drawing>
          </mc:Choice>
          <mc:Fallback>
            <w:pict>
              <v:line id="直接连接符 2" o:spid="_x0000_s1026" o:spt="20" style="position:absolute;left:0pt;margin-left:309.65pt;margin-top:14.95pt;height:0pt;width:201.6pt;mso-position-horizontal-relative:page;z-index:251659264;mso-width-relative:page;mso-height-relative:page;" filled="f" stroked="t" coordsize="21600,21600" o:gfxdata="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xWwb7XAAAACgEAAA8AAAAAAAAAAQAgAAAAIgAAAGRycy9kb3ducmV2LnhtbFBLAQIUABQAAAAI&#10;AIdO4kA/MYgCJwIAAEgEAAAOAAAAAAAAAAEAIAAAACYBAABkcnMvZTJvRG9jLnhtbFBLBQYAAAAA&#10;BgAGAFkBAAC/BQAAAAA=&#10;">
                <v:fill on="f" focussize="0,0"/>
                <v:stroke weight="2pt" color="#FF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660288" behindDoc="0" locked="0" layoutInCell="1" allowOverlap="1">
                <wp:simplePos x="0" y="0"/>
                <wp:positionH relativeFrom="page">
                  <wp:posOffset>1027430</wp:posOffset>
                </wp:positionH>
                <wp:positionV relativeFrom="paragraph">
                  <wp:posOffset>208915</wp:posOffset>
                </wp:positionV>
                <wp:extent cx="2560320" cy="0"/>
                <wp:effectExtent l="0" t="0" r="0" b="0"/>
                <wp:wrapNone/>
                <wp:docPr id="2" name="直接连接符 1"/>
                <wp:cNvGraphicFramePr/>
                <a:graphic xmlns:a="http://schemas.openxmlformats.org/drawingml/2006/main">
                  <a:graphicData uri="http://schemas.microsoft.com/office/word/2010/wordprocessingShape">
                    <wps:wsp>
                      <wps:cNvCnPr/>
                      <wps:spPr>
                        <a:xfrm>
                          <a:off x="0" y="0"/>
                          <a:ext cx="2560320" cy="0"/>
                        </a:xfrm>
                        <a:prstGeom prst="line">
                          <a:avLst/>
                        </a:prstGeom>
                        <a:ln w="25400" cap="flat" cmpd="sng">
                          <a:solidFill>
                            <a:srgbClr val="FF0000"/>
                          </a:solidFill>
                          <a:prstDash val="solid"/>
                          <a:headEnd type="none" w="med" len="med"/>
                          <a:tailEnd type="none" w="med" len="med"/>
                        </a:ln>
                      </wps:spPr>
                      <wps:bodyPr rot="0" vert="horz" wrap="square" lIns="91440" tIns="45720" rIns="91440" bIns="45720" anchor="t" anchorCtr="0"/>
                    </wps:wsp>
                  </a:graphicData>
                </a:graphic>
              </wp:anchor>
            </w:drawing>
          </mc:Choice>
          <mc:Fallback>
            <w:pict>
              <v:line id="直接连接符 1" o:spid="_x0000_s1026" o:spt="20" style="position:absolute;left:0pt;margin-left:80.9pt;margin-top:16.45pt;height:0pt;width:201.6pt;mso-position-horizontal-relative:page;z-index:251660288;mso-width-relative:page;mso-height-relative:page;" filled="f" stroked="t" coordsize="21600,21600" o:gfxdata="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Pgov1QAAAAkBAAAPAAAAAAAAAAEAIAAAACIAAABkcnMvZG93bnJldi54bWxQSwECFAAUAAAACACH&#10;TuJAhhT1ZicCAABIBAAADgAAAAAAAAABACAAAAAkAQAAZHJzL2Uyb0RvYy54bWxQSwUGAAAAAAYA&#10;BgBZAQAAvQUAAAAA&#10;">
                <v:fill on="f" focussize="0,0"/>
                <v:stroke weight="2pt" color="#FF0000" joinstyle="round"/>
                <v:imagedata o:title=""/>
                <o:lock v:ext="edit" aspectratio="f"/>
              </v:line>
            </w:pict>
          </mc:Fallback>
        </mc:AlternateContent>
      </w:r>
      <w:r>
        <w:rPr>
          <w:rFonts w:ascii="Segoe UI Symbol" w:hAnsi="Segoe UI Symbol" w:eastAsia="宋体" w:cs="Segoe UI Symbol"/>
          <w:color w:val="FF0000"/>
          <w:sz w:val="40"/>
        </w:rPr>
        <w:t>★</w:t>
      </w:r>
    </w:p>
    <w:p w14:paraId="62E92A36">
      <w:pPr>
        <w:jc w:val="center"/>
        <w:rPr>
          <w:rFonts w:hint="eastAsia" w:ascii="微软雅黑" w:hAnsi="微软雅黑" w:eastAsia="微软雅黑" w:cs="微软雅黑"/>
          <w:b/>
          <w:bCs/>
          <w:color w:val="FF0000"/>
          <w:sz w:val="36"/>
          <w:szCs w:val="36"/>
          <w:lang w:val="en-US" w:eastAsia="zh-CN"/>
        </w:rPr>
      </w:pPr>
      <w:r>
        <w:rPr>
          <w:rFonts w:hint="eastAsia" w:ascii="微软雅黑" w:hAnsi="微软雅黑" w:eastAsia="微软雅黑" w:cs="微软雅黑"/>
          <w:b/>
          <w:bCs/>
          <w:color w:val="FF0000"/>
          <w:sz w:val="36"/>
          <w:szCs w:val="36"/>
          <w:lang w:val="en-US" w:eastAsia="zh-CN"/>
        </w:rPr>
        <w:t>深耕实践守初心 赋能成长向未来</w:t>
      </w:r>
    </w:p>
    <w:p w14:paraId="0FDD4947">
      <w:pPr>
        <w:jc w:val="right"/>
        <w:rPr>
          <w:rFonts w:ascii="微软雅黑" w:hAnsi="微软雅黑" w:eastAsia="微软雅黑" w:cs="微软雅黑"/>
          <w:b/>
          <w:bCs/>
          <w:sz w:val="28"/>
          <w:szCs w:val="28"/>
        </w:rPr>
      </w:pPr>
      <w:r>
        <w:rPr>
          <w:rFonts w:hint="eastAsia" w:ascii="微软雅黑" w:hAnsi="微软雅黑" w:eastAsia="微软雅黑" w:cs="微软雅黑"/>
          <w:b/>
          <w:bCs/>
          <w:sz w:val="28"/>
          <w:szCs w:val="28"/>
        </w:rPr>
        <w:t>——记常州市新北区</w:t>
      </w:r>
      <w:r>
        <w:rPr>
          <w:rFonts w:hint="eastAsia" w:ascii="微软雅黑" w:hAnsi="微软雅黑" w:eastAsia="微软雅黑" w:cs="微软雅黑"/>
          <w:b/>
          <w:bCs/>
          <w:sz w:val="28"/>
          <w:szCs w:val="28"/>
          <w:lang w:val="en-US" w:eastAsia="zh-CN"/>
        </w:rPr>
        <w:t>学前教育徐志国</w:t>
      </w:r>
      <w:r>
        <w:rPr>
          <w:rFonts w:hint="eastAsia" w:ascii="微软雅黑" w:hAnsi="微软雅黑" w:eastAsia="微软雅黑" w:cs="微软雅黑"/>
          <w:b/>
          <w:bCs/>
          <w:sz w:val="28"/>
          <w:szCs w:val="28"/>
        </w:rPr>
        <w:t>卓越教师成长营第</w:t>
      </w:r>
      <w:r>
        <w:rPr>
          <w:rFonts w:hint="eastAsia" w:ascii="微软雅黑" w:hAnsi="微软雅黑" w:eastAsia="微软雅黑" w:cs="微软雅黑"/>
          <w:b/>
          <w:bCs/>
          <w:sz w:val="28"/>
          <w:szCs w:val="28"/>
          <w:lang w:val="en-US" w:eastAsia="zh-CN"/>
        </w:rPr>
        <w:t>48</w:t>
      </w:r>
      <w:r>
        <w:rPr>
          <w:rFonts w:hint="eastAsia" w:ascii="微软雅黑" w:hAnsi="微软雅黑" w:eastAsia="微软雅黑" w:cs="微软雅黑"/>
          <w:b/>
          <w:bCs/>
          <w:sz w:val="28"/>
          <w:szCs w:val="28"/>
        </w:rPr>
        <w:t>次活动</w:t>
      </w:r>
    </w:p>
    <w:p w14:paraId="4B46F010">
      <w:pPr>
        <w:ind w:firstLine="482"/>
        <w:rPr>
          <w:rFonts w:hint="eastAsia" w:ascii="宋体" w:hAnsi="宋体" w:eastAsia="宋体"/>
          <w:sz w:val="24"/>
          <w:lang w:val="en-US" w:eastAsia="zh-CN"/>
        </w:rPr>
      </w:pPr>
      <w:r>
        <w:rPr>
          <w:rFonts w:hint="eastAsia" w:ascii="宋体" w:hAnsi="宋体" w:eastAsia="宋体"/>
          <w:sz w:val="24"/>
          <w:lang w:val="en-US" w:eastAsia="zh-CN"/>
        </w:rPr>
        <w:t> 为深入贯彻《3-6 岁儿童学习与发展指南》《幼儿园保育教育质量评估指南》精神，落实 “深耕教育实践、聚焦师幼互动、推动深度学习” 的教育目标，2026 年 1 月 22 日，新北区学前教育徐志国卓越教师成长营全体营员齐聚新桥街道中心幼儿园（新龙园区），开展第四十八次沉浸式专业成长活动，通过多环节实践与研讨，共探高质量幼儿教育的实践路径。</w:t>
      </w:r>
    </w:p>
    <w:p w14:paraId="48A41DE9">
      <w:pPr>
        <w:ind w:firstLine="482"/>
        <w:rPr>
          <w:rFonts w:hint="default" w:ascii="宋体" w:hAnsi="宋体" w:eastAsia="宋体"/>
          <w:sz w:val="24"/>
          <w:lang w:val="en-US" w:eastAsia="zh-CN"/>
        </w:rPr>
      </w:pPr>
      <w:r>
        <w:rPr>
          <w:rFonts w:hint="default" w:ascii="宋体" w:hAnsi="宋体" w:eastAsia="宋体"/>
          <w:sz w:val="24"/>
          <w:lang w:val="en-US" w:eastAsia="zh-CN"/>
        </w:rPr>
        <w:drawing>
          <wp:anchor distT="0" distB="0" distL="114300" distR="114300" simplePos="0" relativeHeight="251668480" behindDoc="0" locked="0" layoutInCell="1" allowOverlap="1">
            <wp:simplePos x="0" y="0"/>
            <wp:positionH relativeFrom="column">
              <wp:posOffset>267970</wp:posOffset>
            </wp:positionH>
            <wp:positionV relativeFrom="paragraph">
              <wp:posOffset>68580</wp:posOffset>
            </wp:positionV>
            <wp:extent cx="3237230" cy="1504950"/>
            <wp:effectExtent l="0" t="0" r="1270" b="0"/>
            <wp:wrapNone/>
            <wp:docPr id="24" name="图片 24" descr="1863414784-753889656.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863414784-753889656.suf"/>
                    <pic:cNvPicPr>
                      <a:picLocks noChangeAspect="1"/>
                    </pic:cNvPicPr>
                  </pic:nvPicPr>
                  <pic:blipFill>
                    <a:blip r:embed="rId4"/>
                    <a:stretch>
                      <a:fillRect/>
                    </a:stretch>
                  </pic:blipFill>
                  <pic:spPr>
                    <a:xfrm>
                      <a:off x="0" y="0"/>
                      <a:ext cx="3237230" cy="1504950"/>
                    </a:xfrm>
                    <a:prstGeom prst="rect">
                      <a:avLst/>
                    </a:prstGeom>
                  </pic:spPr>
                </pic:pic>
              </a:graphicData>
            </a:graphic>
          </wp:anchor>
        </w:drawing>
      </w:r>
    </w:p>
    <w:p w14:paraId="2C6DACF1">
      <w:pPr>
        <w:ind w:firstLine="482"/>
        <w:rPr>
          <w:rFonts w:hint="default" w:ascii="宋体" w:hAnsi="宋体" w:eastAsia="宋体"/>
          <w:sz w:val="24"/>
          <w:lang w:val="en-US" w:eastAsia="zh-CN"/>
        </w:rPr>
      </w:pPr>
    </w:p>
    <w:p w14:paraId="0AE246EA">
      <w:pPr>
        <w:ind w:firstLine="482"/>
        <w:rPr>
          <w:rFonts w:hint="default" w:ascii="宋体" w:hAnsi="宋体" w:eastAsia="宋体"/>
          <w:sz w:val="24"/>
          <w:lang w:val="en-US" w:eastAsia="zh-CN"/>
        </w:rPr>
      </w:pPr>
    </w:p>
    <w:p w14:paraId="715CA339">
      <w:pPr>
        <w:ind w:firstLine="482"/>
        <w:rPr>
          <w:rFonts w:hint="default" w:ascii="宋体" w:hAnsi="宋体" w:eastAsia="宋体"/>
          <w:sz w:val="24"/>
          <w:lang w:val="en-US" w:eastAsia="zh-CN"/>
        </w:rPr>
      </w:pPr>
    </w:p>
    <w:p w14:paraId="43389BC5">
      <w:pPr>
        <w:ind w:firstLine="482"/>
        <w:rPr>
          <w:rFonts w:hint="default" w:ascii="宋体" w:hAnsi="宋体" w:eastAsia="宋体"/>
          <w:sz w:val="24"/>
          <w:lang w:val="en-US" w:eastAsia="zh-CN"/>
        </w:rPr>
      </w:pPr>
    </w:p>
    <w:p w14:paraId="316C9F21">
      <w:pPr>
        <w:ind w:firstLine="482"/>
        <w:rPr>
          <w:rFonts w:hint="default" w:ascii="宋体" w:hAnsi="宋体" w:eastAsia="宋体"/>
          <w:sz w:val="24"/>
          <w:lang w:val="en-US" w:eastAsia="zh-CN"/>
        </w:rPr>
      </w:pPr>
    </w:p>
    <w:p w14:paraId="68DFFA7E">
      <w:pPr>
        <w:ind w:firstLine="482"/>
        <w:rPr>
          <w:rFonts w:hint="default" w:ascii="宋体" w:hAnsi="宋体" w:eastAsia="宋体"/>
          <w:sz w:val="24"/>
          <w:lang w:val="en-US" w:eastAsia="zh-CN"/>
        </w:rPr>
      </w:pPr>
    </w:p>
    <w:p w14:paraId="6AE364F8">
      <w:pPr>
        <w:rPr>
          <w:rFonts w:hint="default" w:ascii="宋体" w:hAnsi="宋体" w:eastAsia="宋体"/>
          <w:sz w:val="24"/>
          <w:lang w:val="en-US" w:eastAsia="zh-CN"/>
        </w:rPr>
      </w:pPr>
    </w:p>
    <w:p w14:paraId="43FAC06D">
      <w:pPr>
        <w:ind w:firstLine="482"/>
        <w:rPr>
          <w:rFonts w:hint="eastAsia" w:ascii="宋体" w:hAnsi="宋体" w:eastAsia="宋体"/>
          <w:sz w:val="24"/>
          <w:lang w:val="en-US" w:eastAsia="zh-CN"/>
        </w:rPr>
      </w:pPr>
      <w:r>
        <w:rPr>
          <w:rFonts w:hint="eastAsia" w:ascii="宋体" w:hAnsi="宋体" w:eastAsia="宋体"/>
          <w:sz w:val="24"/>
          <w:lang w:val="en-US" w:eastAsia="zh-CN"/>
        </w:rPr>
        <w:t>参会人员：徐志国、李伟林、刘红、吴莉樱、朱琳、何洪秀、许惠莲、周丽佼、黄娜、徐惠芬、陈蓓、蒋侃、陶乐、季叶洁、吴海燕</w:t>
      </w:r>
    </w:p>
    <w:p w14:paraId="1B1D3112">
      <w:pPr>
        <w:spacing w:line="360" w:lineRule="auto"/>
        <w:ind w:firstLine="562" w:firstLineChars="200"/>
        <w:jc w:val="left"/>
        <w:rPr>
          <w:rFonts w:hint="default"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Part01 实践展示：让游戏成为儿童成长的 “活教材”</w:t>
      </w:r>
    </w:p>
    <w:p w14:paraId="0BD772FB">
      <w:pPr>
        <w:ind w:firstLine="482"/>
        <w:rPr>
          <w:rFonts w:hint="default" w:ascii="宋体" w:hAnsi="宋体" w:eastAsia="宋体"/>
          <w:sz w:val="24"/>
          <w:lang w:val="en-US" w:eastAsia="zh-CN"/>
        </w:rPr>
      </w:pPr>
      <w:r>
        <w:rPr>
          <w:rFonts w:hint="eastAsia" w:ascii="宋体" w:hAnsi="宋体" w:eastAsia="宋体"/>
          <w:sz w:val="24"/>
          <w:lang w:val="en-US" w:eastAsia="zh-CN"/>
        </w:rPr>
        <w:t>【区域游戏现场+游戏后分享交流】  大班区域 执教者：周丽佼</w:t>
      </w:r>
    </w:p>
    <w:p w14:paraId="2FC1E3B7">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drawing>
          <wp:anchor distT="0" distB="0" distL="114300" distR="114300" simplePos="0" relativeHeight="251661312" behindDoc="0" locked="0" layoutInCell="1" allowOverlap="1">
            <wp:simplePos x="0" y="0"/>
            <wp:positionH relativeFrom="column">
              <wp:posOffset>317500</wp:posOffset>
            </wp:positionH>
            <wp:positionV relativeFrom="paragraph">
              <wp:posOffset>64135</wp:posOffset>
            </wp:positionV>
            <wp:extent cx="4304030" cy="2000885"/>
            <wp:effectExtent l="0" t="0" r="1270" b="18415"/>
            <wp:wrapNone/>
            <wp:docPr id="14"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
                    <pic:cNvPicPr>
                      <a:picLocks noChangeAspect="1"/>
                    </pic:cNvPicPr>
                  </pic:nvPicPr>
                  <pic:blipFill>
                    <a:blip r:embed="rId5"/>
                    <a:stretch>
                      <a:fillRect/>
                    </a:stretch>
                  </pic:blipFill>
                  <pic:spPr>
                    <a:xfrm>
                      <a:off x="0" y="0"/>
                      <a:ext cx="4304030" cy="2000885"/>
                    </a:xfrm>
                    <a:prstGeom prst="rect">
                      <a:avLst/>
                    </a:prstGeom>
                  </pic:spPr>
                </pic:pic>
              </a:graphicData>
            </a:graphic>
          </wp:anchor>
        </w:drawing>
      </w:r>
    </w:p>
    <w:p w14:paraId="74497997">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5C27CCEB">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19DDB1D7">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2C40312A">
      <w:pPr>
        <w:spacing w:line="360" w:lineRule="auto"/>
        <w:jc w:val="left"/>
        <w:rPr>
          <w:rFonts w:hint="eastAsia" w:ascii="黑体" w:hAnsi="黑体" w:eastAsia="黑体" w:cs="黑体"/>
          <w:b/>
          <w:bCs w:val="0"/>
          <w:sz w:val="28"/>
          <w:szCs w:val="28"/>
          <w:shd w:val="clear" w:color="FFFFFF" w:fill="D9D9D9"/>
          <w:lang w:val="en-US" w:eastAsia="zh-CN"/>
        </w:rPr>
      </w:pPr>
    </w:p>
    <w:p w14:paraId="7D172242">
      <w:pPr>
        <w:spacing w:line="240" w:lineRule="auto"/>
        <w:rPr>
          <w:sz w:val="24"/>
          <w:szCs w:val="24"/>
        </w:rPr>
      </w:pPr>
    </w:p>
    <w:p w14:paraId="4CE23A57">
      <w:pPr>
        <w:spacing w:line="240" w:lineRule="auto"/>
        <w:ind w:firstLine="480" w:firstLineChars="200"/>
        <w:rPr>
          <w:sz w:val="24"/>
          <w:szCs w:val="24"/>
        </w:rPr>
      </w:pPr>
      <w:r>
        <w:rPr>
          <w:sz w:val="24"/>
          <w:szCs w:val="24"/>
        </w:rPr>
        <w:t>活动伊始，营员们走进新龙大三班，观摩幼儿自主开展的区域游戏：益智区幼儿默契挑战 “拆高楼”，专注探索积木抽取与平衡的奥秘；科探区幼儿执着摆</w:t>
      </w:r>
      <w:r>
        <w:rPr>
          <w:rFonts w:hint="eastAsia"/>
          <w:sz w:val="24"/>
          <w:szCs w:val="24"/>
          <w:lang w:val="en-US" w:eastAsia="zh-CN"/>
        </w:rPr>
        <w:drawing>
          <wp:anchor distT="0" distB="0" distL="114300" distR="114300" simplePos="0" relativeHeight="251662336" behindDoc="0" locked="0" layoutInCell="1" allowOverlap="1">
            <wp:simplePos x="0" y="0"/>
            <wp:positionH relativeFrom="column">
              <wp:posOffset>333375</wp:posOffset>
            </wp:positionH>
            <wp:positionV relativeFrom="paragraph">
              <wp:posOffset>586740</wp:posOffset>
            </wp:positionV>
            <wp:extent cx="3436620" cy="1933575"/>
            <wp:effectExtent l="0" t="0" r="11430" b="9525"/>
            <wp:wrapNone/>
            <wp:docPr id="15"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
                    <pic:cNvPicPr>
                      <a:picLocks noChangeAspect="1"/>
                    </pic:cNvPicPr>
                  </pic:nvPicPr>
                  <pic:blipFill>
                    <a:blip r:embed="rId6"/>
                    <a:stretch>
                      <a:fillRect/>
                    </a:stretch>
                  </pic:blipFill>
                  <pic:spPr>
                    <a:xfrm>
                      <a:off x="0" y="0"/>
                      <a:ext cx="3436620" cy="1933575"/>
                    </a:xfrm>
                    <a:prstGeom prst="rect">
                      <a:avLst/>
                    </a:prstGeom>
                  </pic:spPr>
                </pic:pic>
              </a:graphicData>
            </a:graphic>
          </wp:anchor>
        </w:drawing>
      </w:r>
      <w:r>
        <w:rPr>
          <w:sz w:val="24"/>
          <w:szCs w:val="24"/>
        </w:rPr>
        <w:t>弄太阳能装置，尝试 “让多个风扇转动”；美工区幼儿用撕贴、揉捏手法创作雪人队伍，搭配星月与 “雪粒” 打造独特艺术作品。游戏结束后，周丽佼老师引导幼儿自信分享发现与困惑，通过追问帮助幼儿复盘游戏经验。</w:t>
      </w:r>
    </w:p>
    <w:p w14:paraId="17A429D9">
      <w:pPr>
        <w:spacing w:line="240" w:lineRule="auto"/>
        <w:ind w:firstLine="480" w:firstLineChars="200"/>
        <w:rPr>
          <w:rFonts w:hint="eastAsia"/>
          <w:sz w:val="24"/>
          <w:szCs w:val="24"/>
          <w:lang w:val="en-US" w:eastAsia="zh-CN"/>
        </w:rPr>
      </w:pPr>
    </w:p>
    <w:p w14:paraId="463D3450">
      <w:pPr>
        <w:spacing w:line="240" w:lineRule="auto"/>
        <w:ind w:firstLine="480" w:firstLineChars="200"/>
        <w:rPr>
          <w:rFonts w:hint="eastAsia"/>
          <w:sz w:val="24"/>
          <w:szCs w:val="24"/>
          <w:lang w:val="en-US" w:eastAsia="zh-CN"/>
        </w:rPr>
      </w:pPr>
    </w:p>
    <w:p w14:paraId="26DF9F6F">
      <w:pPr>
        <w:spacing w:line="240" w:lineRule="auto"/>
        <w:ind w:firstLine="480" w:firstLineChars="200"/>
        <w:rPr>
          <w:rFonts w:hint="eastAsia"/>
          <w:sz w:val="24"/>
          <w:szCs w:val="24"/>
          <w:lang w:val="en-US" w:eastAsia="zh-CN"/>
        </w:rPr>
      </w:pPr>
    </w:p>
    <w:p w14:paraId="0EEE33C4">
      <w:pPr>
        <w:spacing w:line="240" w:lineRule="auto"/>
        <w:ind w:firstLine="480" w:firstLineChars="200"/>
        <w:rPr>
          <w:rFonts w:hint="eastAsia"/>
          <w:sz w:val="24"/>
          <w:szCs w:val="24"/>
          <w:lang w:val="en-US" w:eastAsia="zh-CN"/>
        </w:rPr>
      </w:pPr>
    </w:p>
    <w:p w14:paraId="0ACD03E4">
      <w:pPr>
        <w:spacing w:line="240" w:lineRule="auto"/>
        <w:ind w:firstLine="480" w:firstLineChars="200"/>
        <w:rPr>
          <w:rFonts w:hint="eastAsia"/>
          <w:sz w:val="24"/>
          <w:szCs w:val="24"/>
          <w:lang w:val="en-US" w:eastAsia="zh-CN"/>
        </w:rPr>
      </w:pPr>
    </w:p>
    <w:p w14:paraId="59381F2D">
      <w:pPr>
        <w:spacing w:line="240" w:lineRule="auto"/>
        <w:ind w:firstLine="480" w:firstLineChars="200"/>
        <w:rPr>
          <w:rFonts w:hint="eastAsia"/>
          <w:sz w:val="24"/>
          <w:szCs w:val="24"/>
          <w:lang w:val="en-US" w:eastAsia="zh-CN"/>
        </w:rPr>
      </w:pPr>
    </w:p>
    <w:p w14:paraId="221541E1">
      <w:pPr>
        <w:spacing w:line="240" w:lineRule="auto"/>
        <w:ind w:firstLine="480" w:firstLineChars="200"/>
        <w:rPr>
          <w:rFonts w:hint="eastAsia"/>
          <w:sz w:val="24"/>
          <w:szCs w:val="24"/>
          <w:lang w:val="en-US" w:eastAsia="zh-CN"/>
        </w:rPr>
      </w:pPr>
    </w:p>
    <w:p w14:paraId="3ACD35D4">
      <w:pPr>
        <w:spacing w:line="240" w:lineRule="auto"/>
        <w:ind w:firstLine="480" w:firstLineChars="200"/>
        <w:rPr>
          <w:rFonts w:hint="eastAsia"/>
          <w:sz w:val="24"/>
          <w:szCs w:val="24"/>
          <w:lang w:val="en-US" w:eastAsia="zh-CN"/>
        </w:rPr>
      </w:pPr>
    </w:p>
    <w:p w14:paraId="1896A0A2">
      <w:pPr>
        <w:spacing w:line="240" w:lineRule="auto"/>
        <w:ind w:firstLine="480" w:firstLineChars="200"/>
        <w:rPr>
          <w:rFonts w:hint="eastAsia"/>
          <w:sz w:val="24"/>
          <w:szCs w:val="24"/>
          <w:lang w:val="en-US" w:eastAsia="zh-CN"/>
        </w:rPr>
      </w:pPr>
    </w:p>
    <w:p w14:paraId="15025DC8">
      <w:pPr>
        <w:spacing w:line="240" w:lineRule="auto"/>
        <w:rPr>
          <w:rFonts w:hint="eastAsia"/>
          <w:sz w:val="24"/>
          <w:szCs w:val="24"/>
          <w:lang w:val="en-US" w:eastAsia="zh-CN"/>
        </w:rPr>
      </w:pPr>
    </w:p>
    <w:p w14:paraId="7851C362">
      <w:pPr>
        <w:ind w:firstLine="480" w:firstLineChars="200"/>
        <w:rPr>
          <w:rFonts w:hint="eastAsia"/>
          <w:sz w:val="24"/>
          <w:szCs w:val="24"/>
          <w:lang w:val="en-US" w:eastAsia="zh-CN"/>
        </w:rPr>
      </w:pPr>
      <w:r>
        <w:rPr>
          <w:rFonts w:hint="eastAsia"/>
          <w:sz w:val="24"/>
          <w:szCs w:val="24"/>
          <w:lang w:val="en-US" w:eastAsia="zh-CN"/>
        </w:rPr>
        <w:t>随后，领衔人徐志国老师现场展示高质量师幼互动，围绕 “如何记录游戏次数和分数”“高分积木摆放位置” 等开放性问题，点燃幼儿思考热情。他通过精准提问、耐心倾听与适度挑战，引导幼儿分享想法、凝聚集体共识，让在场教师直观感知：高质量师幼互动是推动幼儿深度思考、实现经验共生的关键。</w:t>
      </w:r>
    </w:p>
    <w:p w14:paraId="60A86901">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Part02案例分享：户外场域中的 “深度学习密码</w:t>
      </w:r>
    </w:p>
    <w:p w14:paraId="491E6E6F">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drawing>
          <wp:anchor distT="0" distB="0" distL="114300" distR="114300" simplePos="0" relativeHeight="251663360" behindDoc="0" locked="0" layoutInCell="1" allowOverlap="1">
            <wp:simplePos x="0" y="0"/>
            <wp:positionH relativeFrom="column">
              <wp:posOffset>298450</wp:posOffset>
            </wp:positionH>
            <wp:positionV relativeFrom="paragraph">
              <wp:posOffset>12700</wp:posOffset>
            </wp:positionV>
            <wp:extent cx="2332990" cy="1750060"/>
            <wp:effectExtent l="0" t="0" r="10160" b="2540"/>
            <wp:wrapNone/>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7"/>
                    <a:stretch>
                      <a:fillRect/>
                    </a:stretch>
                  </pic:blipFill>
                  <pic:spPr>
                    <a:xfrm>
                      <a:off x="0" y="0"/>
                      <a:ext cx="2332990" cy="1750060"/>
                    </a:xfrm>
                    <a:prstGeom prst="rect">
                      <a:avLst/>
                    </a:prstGeom>
                  </pic:spPr>
                </pic:pic>
              </a:graphicData>
            </a:graphic>
          </wp:anchor>
        </w:drawing>
      </w:r>
    </w:p>
    <w:p w14:paraId="7BDA25D9">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684AA3CC">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07E53A15">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43D956C1">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p>
    <w:p w14:paraId="0DA7FFCC">
      <w:pPr>
        <w:spacing w:line="240" w:lineRule="auto"/>
        <w:ind w:firstLine="480" w:firstLineChars="200"/>
        <w:rPr>
          <w:rFonts w:hint="eastAsia"/>
          <w:sz w:val="24"/>
          <w:szCs w:val="24"/>
          <w:lang w:val="en-US" w:eastAsia="zh-CN"/>
        </w:rPr>
      </w:pPr>
      <w:r>
        <w:rPr>
          <w:rFonts w:hint="eastAsia"/>
          <w:sz w:val="24"/>
          <w:szCs w:val="24"/>
          <w:lang w:val="en-US" w:eastAsia="zh-CN"/>
        </w:rPr>
        <w:t>吴莉樱老师以《户你童行 乐享童年》为题，结合《评估指南》中 “每日户外活动不少于 2 小时” 的要求，分享幼儿园户外活动创新实践经验。她提出构建 “环境创设 — 内容生成 — 师幼互动 — 深度学习” 的完整闭环，打破传统户外活动 “重体能、轻探究” 的局限：</w:t>
      </w:r>
    </w:p>
    <w:p w14:paraId="70A4851F">
      <w:pPr>
        <w:spacing w:line="240" w:lineRule="auto"/>
        <w:ind w:firstLine="482" w:firstLineChars="200"/>
        <w:rPr>
          <w:rFonts w:hint="eastAsia"/>
          <w:sz w:val="24"/>
          <w:szCs w:val="24"/>
          <w:lang w:val="en-US" w:eastAsia="zh-CN"/>
        </w:rPr>
      </w:pPr>
      <w:r>
        <w:rPr>
          <w:rFonts w:hint="eastAsia"/>
          <w:b/>
          <w:bCs/>
          <w:sz w:val="24"/>
          <w:szCs w:val="24"/>
          <w:lang w:val="en-US" w:eastAsia="zh-CN"/>
        </w:rPr>
        <w:t>1.儿童为先的户外场域创设：</w:t>
      </w:r>
      <w:r>
        <w:rPr>
          <w:rFonts w:hint="eastAsia"/>
          <w:sz w:val="24"/>
          <w:szCs w:val="24"/>
          <w:lang w:val="en-US" w:eastAsia="zh-CN"/>
        </w:rPr>
        <w:t>打造 “可探索” 自然野趣区（土坡、沙池、水池）、“可移动” 自主材料库（轮胎、木板、绳索等低结构材料）、“可选择” 动态功能分区（打破固定区域限制，支持幼儿自主规划空间）、“可冒险” 适度挑战空间（空中绳索、晃动 “独木桥” 等，培养幼儿风险评估与解决问题能力）。</w:t>
      </w:r>
    </w:p>
    <w:p w14:paraId="05828272">
      <w:pPr>
        <w:spacing w:line="240" w:lineRule="auto"/>
        <w:ind w:firstLine="482" w:firstLineChars="200"/>
        <w:rPr>
          <w:rFonts w:hint="eastAsia"/>
          <w:sz w:val="24"/>
          <w:szCs w:val="24"/>
          <w:lang w:val="en-US" w:eastAsia="zh-CN"/>
        </w:rPr>
      </w:pPr>
      <w:r>
        <w:rPr>
          <w:rFonts w:hint="eastAsia"/>
          <w:b/>
          <w:bCs/>
          <w:sz w:val="24"/>
          <w:szCs w:val="24"/>
          <w:lang w:val="en-US" w:eastAsia="zh-CN"/>
        </w:rPr>
        <w:t>2.儿童视角的活动设计：</w:t>
      </w:r>
      <w:r>
        <w:rPr>
          <w:rFonts w:hint="eastAsia"/>
          <w:sz w:val="24"/>
          <w:szCs w:val="24"/>
          <w:lang w:val="en-US" w:eastAsia="zh-CN"/>
        </w:rPr>
        <w:t>发起 “主题探寻” 式游戏（如基于幼儿对 “小船浮起” 的兴趣，引导观察实验）、践行 “我的游戏我做主” 计划（鼓励幼儿用绘画表达游戏计划）、融入 “角色扮演与情境创设”（如利用橘子树资源开展 “围炉煮茶” 游戏）、善用 “自然资源” 体验自然艺术（落叶拼贴、石头搭建等）。</w:t>
      </w:r>
    </w:p>
    <w:p w14:paraId="63A7961F">
      <w:pPr>
        <w:spacing w:line="240" w:lineRule="auto"/>
        <w:ind w:firstLine="482" w:firstLineChars="200"/>
        <w:rPr>
          <w:rFonts w:hint="eastAsia" w:ascii="宋体" w:hAnsi="宋体" w:eastAsia="宋体" w:cs="宋体"/>
          <w:bCs/>
          <w:sz w:val="24"/>
          <w:lang w:val="en-US" w:eastAsia="zh-CN"/>
        </w:rPr>
      </w:pPr>
      <w:r>
        <w:rPr>
          <w:rFonts w:hint="eastAsia"/>
          <w:b/>
          <w:bCs/>
          <w:sz w:val="24"/>
          <w:szCs w:val="24"/>
          <w:lang w:val="en-US" w:eastAsia="zh-CN"/>
        </w:rPr>
        <w:t>3.师幼共玩的支持策略：</w:t>
      </w:r>
      <w:r>
        <w:rPr>
          <w:rFonts w:hint="eastAsia"/>
          <w:sz w:val="24"/>
          <w:szCs w:val="24"/>
          <w:lang w:val="en-US" w:eastAsia="zh-CN"/>
        </w:rPr>
        <w:t>教师以 “平等游戏伙伴” 身份参与游戏，采用 “观察 — 等待 — 回应” 策略，记录游戏瞬间并引导幼儿反思，推动无意识游戏转化为有意识学习。</w:t>
      </w:r>
    </w:p>
    <w:p w14:paraId="592569EE">
      <w:pPr>
        <w:spacing w:line="360" w:lineRule="auto"/>
        <w:ind w:firstLine="562" w:firstLineChars="200"/>
        <w:jc w:val="both"/>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Part03 即时教研：在思维碰撞中破解实践难题</w:t>
      </w:r>
    </w:p>
    <w:p w14:paraId="5B588D75">
      <w:pPr>
        <w:spacing w:line="240" w:lineRule="auto"/>
        <w:ind w:firstLine="480" w:firstLineChars="200"/>
        <w:jc w:val="both"/>
        <w:rPr>
          <w:rFonts w:hint="eastAsia" w:ascii="宋体" w:hAnsi="宋体" w:eastAsia="宋体"/>
          <w:sz w:val="24"/>
          <w:lang w:val="en-US" w:eastAsia="zh-CN"/>
        </w:rPr>
      </w:pPr>
      <w:r>
        <w:rPr>
          <w:rFonts w:hint="eastAsia" w:ascii="宋体" w:hAnsi="宋体" w:eastAsia="宋体"/>
          <w:sz w:val="24"/>
          <w:lang w:val="en-US" w:eastAsia="zh-CN"/>
        </w:rPr>
        <w:t>教研环节聚焦两大实践议题，营员分组开展沉浸式研讨，形成具体策略与共识：</w:t>
      </w:r>
    </w:p>
    <w:p w14:paraId="1696A5EE">
      <w:pPr>
        <w:spacing w:line="240" w:lineRule="auto"/>
        <w:ind w:firstLine="482" w:firstLineChars="200"/>
        <w:jc w:val="both"/>
        <w:rPr>
          <w:rFonts w:hint="eastAsia" w:ascii="宋体" w:hAnsi="宋体" w:eastAsia="宋体"/>
          <w:b/>
          <w:bCs/>
          <w:sz w:val="24"/>
          <w:lang w:val="en-US" w:eastAsia="zh-CN"/>
        </w:rPr>
      </w:pPr>
      <w:r>
        <w:rPr>
          <w:rFonts w:hint="eastAsia" w:ascii="宋体" w:hAnsi="宋体" w:eastAsia="宋体"/>
          <w:b/>
          <w:bCs/>
          <w:sz w:val="24"/>
          <w:lang w:val="en-US" w:eastAsia="zh-CN"/>
        </w:rPr>
        <w:t>【第一组：科学区《玩转太阳能》游戏研讨】</w:t>
      </w:r>
    </w:p>
    <w:p w14:paraId="3C46C9B5">
      <w:pPr>
        <w:spacing w:line="240" w:lineRule="auto"/>
        <w:ind w:firstLine="482" w:firstLineChars="200"/>
        <w:jc w:val="both"/>
        <w:rPr>
          <w:rFonts w:hint="eastAsia" w:ascii="宋体" w:hAnsi="宋体" w:eastAsia="宋体"/>
          <w:b/>
          <w:bCs/>
          <w:sz w:val="24"/>
          <w:lang w:val="en-US" w:eastAsia="zh-CN"/>
        </w:rPr>
      </w:pPr>
      <w:r>
        <w:rPr>
          <w:rFonts w:hint="eastAsia" w:ascii="宋体" w:hAnsi="宋体" w:eastAsia="宋体"/>
          <w:b/>
          <w:bCs/>
          <w:sz w:val="24"/>
          <w:lang w:val="en-US" w:eastAsia="zh-CN"/>
        </w:rPr>
        <w:drawing>
          <wp:anchor distT="0" distB="0" distL="114300" distR="114300" simplePos="0" relativeHeight="251665408" behindDoc="0" locked="0" layoutInCell="1" allowOverlap="1">
            <wp:simplePos x="0" y="0"/>
            <wp:positionH relativeFrom="column">
              <wp:posOffset>304800</wp:posOffset>
            </wp:positionH>
            <wp:positionV relativeFrom="paragraph">
              <wp:posOffset>6350</wp:posOffset>
            </wp:positionV>
            <wp:extent cx="2825115" cy="1313815"/>
            <wp:effectExtent l="0" t="0" r="13335" b="635"/>
            <wp:wrapNone/>
            <wp:docPr id="19" name="图片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
                    <pic:cNvPicPr>
                      <a:picLocks noChangeAspect="1"/>
                    </pic:cNvPicPr>
                  </pic:nvPicPr>
                  <pic:blipFill>
                    <a:blip r:embed="rId8"/>
                    <a:stretch>
                      <a:fillRect/>
                    </a:stretch>
                  </pic:blipFill>
                  <pic:spPr>
                    <a:xfrm>
                      <a:off x="0" y="0"/>
                      <a:ext cx="2825115" cy="1313815"/>
                    </a:xfrm>
                    <a:prstGeom prst="rect">
                      <a:avLst/>
                    </a:prstGeom>
                  </pic:spPr>
                </pic:pic>
              </a:graphicData>
            </a:graphic>
          </wp:anchor>
        </w:drawing>
      </w:r>
    </w:p>
    <w:p w14:paraId="5F146AB0">
      <w:pPr>
        <w:spacing w:line="240" w:lineRule="auto"/>
        <w:ind w:firstLine="482" w:firstLineChars="200"/>
        <w:jc w:val="both"/>
        <w:rPr>
          <w:rFonts w:hint="eastAsia" w:ascii="宋体" w:hAnsi="宋体" w:eastAsia="宋体"/>
          <w:b/>
          <w:bCs/>
          <w:sz w:val="24"/>
          <w:lang w:val="en-US" w:eastAsia="zh-CN"/>
        </w:rPr>
      </w:pPr>
    </w:p>
    <w:p w14:paraId="6718652F">
      <w:pPr>
        <w:spacing w:line="240" w:lineRule="auto"/>
        <w:ind w:firstLine="482" w:firstLineChars="200"/>
        <w:jc w:val="both"/>
        <w:rPr>
          <w:rFonts w:hint="eastAsia" w:ascii="宋体" w:hAnsi="宋体" w:eastAsia="宋体"/>
          <w:b/>
          <w:bCs/>
          <w:sz w:val="24"/>
          <w:lang w:val="en-US" w:eastAsia="zh-CN"/>
        </w:rPr>
      </w:pPr>
    </w:p>
    <w:p w14:paraId="71F97F37">
      <w:pPr>
        <w:spacing w:line="240" w:lineRule="auto"/>
        <w:ind w:firstLine="482" w:firstLineChars="200"/>
        <w:jc w:val="both"/>
        <w:rPr>
          <w:rFonts w:hint="eastAsia" w:ascii="宋体" w:hAnsi="宋体" w:eastAsia="宋体"/>
          <w:b/>
          <w:bCs/>
          <w:sz w:val="24"/>
          <w:lang w:val="en-US" w:eastAsia="zh-CN"/>
        </w:rPr>
      </w:pPr>
    </w:p>
    <w:p w14:paraId="6CCA9BA4">
      <w:pPr>
        <w:spacing w:line="240" w:lineRule="auto"/>
        <w:ind w:firstLine="482" w:firstLineChars="200"/>
        <w:jc w:val="both"/>
        <w:rPr>
          <w:rFonts w:hint="eastAsia" w:ascii="宋体" w:hAnsi="宋体" w:eastAsia="宋体"/>
          <w:b/>
          <w:bCs/>
          <w:sz w:val="24"/>
          <w:lang w:val="en-US" w:eastAsia="zh-CN"/>
        </w:rPr>
      </w:pPr>
    </w:p>
    <w:p w14:paraId="68B9C50F">
      <w:pPr>
        <w:spacing w:line="240" w:lineRule="auto"/>
        <w:ind w:firstLine="482" w:firstLineChars="200"/>
        <w:jc w:val="both"/>
        <w:rPr>
          <w:rFonts w:hint="eastAsia" w:ascii="宋体" w:hAnsi="宋体" w:eastAsia="宋体"/>
          <w:b/>
          <w:bCs/>
          <w:sz w:val="24"/>
          <w:lang w:val="en-US" w:eastAsia="zh-CN"/>
        </w:rPr>
      </w:pPr>
    </w:p>
    <w:p w14:paraId="26AC979A">
      <w:pPr>
        <w:spacing w:line="240" w:lineRule="auto"/>
        <w:ind w:firstLine="482" w:firstLineChars="200"/>
        <w:jc w:val="both"/>
        <w:rPr>
          <w:rFonts w:hint="eastAsia" w:ascii="宋体" w:hAnsi="宋体" w:eastAsia="宋体"/>
          <w:b/>
          <w:bCs/>
          <w:sz w:val="24"/>
          <w:lang w:val="en-US" w:eastAsia="zh-CN"/>
        </w:rPr>
      </w:pPr>
    </w:p>
    <w:p w14:paraId="4DD2E18B">
      <w:pPr>
        <w:spacing w:line="240" w:lineRule="auto"/>
        <w:ind w:firstLine="480" w:firstLineChars="200"/>
        <w:jc w:val="both"/>
        <w:rPr>
          <w:rFonts w:hint="eastAsia" w:ascii="宋体" w:hAnsi="宋体" w:eastAsia="宋体"/>
          <w:sz w:val="24"/>
          <w:lang w:val="en-US" w:eastAsia="zh-CN"/>
        </w:rPr>
      </w:pPr>
      <w:r>
        <w:rPr>
          <w:rFonts w:hint="eastAsia" w:ascii="宋体" w:hAnsi="宋体" w:eastAsia="宋体"/>
          <w:sz w:val="24"/>
          <w:lang w:val="en-US" w:eastAsia="zh-CN"/>
        </w:rPr>
        <w:t>黄娜（代表幼儿）模拟分享游戏困境：连接两个电风扇后，风扇未转动。周丽佼（代表教师）引导 “检查电路图” 并分析原因（太阳能电力不足）。徐志国老师点评总结四大关键策略：</w:t>
      </w:r>
    </w:p>
    <w:p w14:paraId="5D086A44">
      <w:pPr>
        <w:spacing w:line="240" w:lineRule="auto"/>
        <w:ind w:firstLine="482" w:firstLineChars="200"/>
        <w:jc w:val="both"/>
        <w:rPr>
          <w:rFonts w:hint="eastAsia" w:ascii="宋体" w:hAnsi="宋体" w:eastAsia="宋体"/>
          <w:sz w:val="24"/>
          <w:lang w:val="en-US" w:eastAsia="zh-CN"/>
        </w:rPr>
      </w:pPr>
      <w:r>
        <w:rPr>
          <w:rFonts w:hint="eastAsia" w:ascii="宋体" w:hAnsi="宋体" w:eastAsia="宋体"/>
          <w:b/>
          <w:bCs/>
          <w:sz w:val="24"/>
          <w:lang w:val="en-US" w:eastAsia="zh-CN"/>
        </w:rPr>
        <w:t>1.不急于评价、重验证：</w:t>
      </w:r>
      <w:r>
        <w:rPr>
          <w:rFonts w:hint="eastAsia" w:ascii="宋体" w:hAnsi="宋体" w:eastAsia="宋体"/>
          <w:sz w:val="24"/>
          <w:lang w:val="en-US" w:eastAsia="zh-CN"/>
        </w:rPr>
        <w:t>记录幼儿所有猜想（如 “调整太阳能板角度”），鼓励次日实践检验；</w:t>
      </w:r>
    </w:p>
    <w:p w14:paraId="011E3A70">
      <w:pPr>
        <w:spacing w:line="240" w:lineRule="auto"/>
        <w:ind w:firstLine="482" w:firstLineChars="200"/>
        <w:jc w:val="both"/>
        <w:rPr>
          <w:rFonts w:hint="eastAsia" w:ascii="宋体" w:hAnsi="宋体" w:eastAsia="宋体"/>
          <w:sz w:val="24"/>
          <w:lang w:val="en-US" w:eastAsia="zh-CN"/>
        </w:rPr>
      </w:pPr>
      <w:r>
        <w:rPr>
          <w:rFonts w:hint="eastAsia" w:ascii="宋体" w:hAnsi="宋体" w:eastAsia="宋体"/>
          <w:b/>
          <w:bCs/>
          <w:sz w:val="24"/>
          <w:lang w:val="en-US" w:eastAsia="zh-CN"/>
        </w:rPr>
        <w:t>2.聚焦问题、深度追问：</w:t>
      </w:r>
      <w:r>
        <w:rPr>
          <w:rFonts w:hint="eastAsia" w:ascii="宋体" w:hAnsi="宋体" w:eastAsia="宋体"/>
          <w:sz w:val="24"/>
          <w:lang w:val="en-US" w:eastAsia="zh-CN"/>
        </w:rPr>
        <w:t>围绕 “风扇不转” 提问（如 “小灯泡能亮但风扇不转，两者对电的需求有何差异”），推动幼儿从现象观察走向原理探究；</w:t>
      </w:r>
    </w:p>
    <w:p w14:paraId="4E2EF796">
      <w:pPr>
        <w:spacing w:line="240" w:lineRule="auto"/>
        <w:ind w:firstLine="482" w:firstLineChars="200"/>
        <w:jc w:val="both"/>
        <w:rPr>
          <w:rFonts w:hint="eastAsia" w:ascii="宋体" w:hAnsi="宋体" w:eastAsia="宋体"/>
          <w:sz w:val="24"/>
          <w:lang w:val="en-US" w:eastAsia="zh-CN"/>
        </w:rPr>
      </w:pPr>
      <w:r>
        <w:rPr>
          <w:rFonts w:hint="eastAsia" w:ascii="宋体" w:hAnsi="宋体" w:eastAsia="宋体"/>
          <w:b/>
          <w:bCs/>
          <w:sz w:val="24"/>
          <w:lang w:val="en-US" w:eastAsia="zh-CN"/>
        </w:rPr>
        <w:t>3.信息化工具赋能教师：</w:t>
      </w:r>
      <w:r>
        <w:rPr>
          <w:rFonts w:hint="eastAsia" w:ascii="宋体" w:hAnsi="宋体" w:eastAsia="宋体"/>
          <w:sz w:val="24"/>
          <w:lang w:val="en-US" w:eastAsia="zh-CN"/>
        </w:rPr>
        <w:t>教师先通过查阅资料、模拟电路提升专业认知，再通过对话与材料支持转化为幼儿游戏发展契机；</w:t>
      </w:r>
    </w:p>
    <w:p w14:paraId="165EB162">
      <w:pPr>
        <w:spacing w:line="240" w:lineRule="auto"/>
        <w:ind w:firstLine="482" w:firstLineChars="200"/>
        <w:jc w:val="both"/>
        <w:rPr>
          <w:rFonts w:hint="eastAsia" w:ascii="宋体" w:hAnsi="宋体" w:eastAsia="宋体"/>
          <w:sz w:val="24"/>
          <w:lang w:val="en-US" w:eastAsia="zh-CN"/>
        </w:rPr>
      </w:pPr>
      <w:r>
        <w:rPr>
          <w:rFonts w:hint="eastAsia" w:ascii="宋体" w:hAnsi="宋体" w:eastAsia="宋体"/>
          <w:b/>
          <w:bCs/>
          <w:sz w:val="24"/>
          <w:lang w:val="en-US" w:eastAsia="zh-CN"/>
        </w:rPr>
        <w:t>4.优化游戏记录：</w:t>
      </w:r>
      <w:r>
        <w:rPr>
          <w:rFonts w:hint="eastAsia" w:ascii="宋体" w:hAnsi="宋体" w:eastAsia="宋体"/>
          <w:sz w:val="24"/>
          <w:lang w:val="en-US" w:eastAsia="zh-CN"/>
        </w:rPr>
        <w:t>以 “看得见的支架” 为核心，用简单图示（如 “太阳能板角度与风扇转速关系”）记录，助力幼儿次日游戏参考。</w:t>
      </w:r>
    </w:p>
    <w:p w14:paraId="634D1CA1">
      <w:pPr>
        <w:spacing w:line="240" w:lineRule="auto"/>
        <w:ind w:firstLine="482" w:firstLineChars="200"/>
        <w:jc w:val="both"/>
        <w:rPr>
          <w:rFonts w:hint="eastAsia" w:ascii="宋体" w:hAnsi="宋体" w:eastAsia="宋体"/>
          <w:b/>
          <w:bCs/>
          <w:sz w:val="24"/>
          <w:lang w:val="en-US" w:eastAsia="zh-CN"/>
        </w:rPr>
      </w:pPr>
      <w:r>
        <w:rPr>
          <w:rFonts w:hint="eastAsia" w:ascii="宋体" w:hAnsi="宋体" w:eastAsia="宋体"/>
          <w:b/>
          <w:bCs/>
          <w:sz w:val="24"/>
          <w:lang w:val="en-US" w:eastAsia="zh-CN"/>
        </w:rPr>
        <w:t>【第二组：“拆高楼” 游戏师幼互动微教研】</w:t>
      </w:r>
    </w:p>
    <w:p w14:paraId="35D8E97F">
      <w:pPr>
        <w:spacing w:line="240" w:lineRule="auto"/>
        <w:ind w:firstLine="480" w:firstLineChars="200"/>
        <w:jc w:val="both"/>
        <w:rPr>
          <w:rFonts w:hint="eastAsia" w:ascii="宋体" w:hAnsi="宋体" w:eastAsia="宋体"/>
          <w:b/>
          <w:bCs/>
          <w:sz w:val="24"/>
          <w:lang w:val="en-US" w:eastAsia="zh-CN"/>
        </w:rPr>
      </w:pPr>
      <w:r>
        <w:rPr>
          <w:rFonts w:hint="eastAsia" w:ascii="宋体" w:hAnsi="宋体" w:eastAsia="宋体"/>
          <w:sz w:val="24"/>
          <w:lang w:val="en-US" w:eastAsia="zh-CN"/>
        </w:rPr>
        <w:drawing>
          <wp:anchor distT="0" distB="0" distL="114300" distR="114300" simplePos="0" relativeHeight="251664384" behindDoc="0" locked="0" layoutInCell="1" allowOverlap="1">
            <wp:simplePos x="0" y="0"/>
            <wp:positionH relativeFrom="column">
              <wp:posOffset>323850</wp:posOffset>
            </wp:positionH>
            <wp:positionV relativeFrom="paragraph">
              <wp:posOffset>8890</wp:posOffset>
            </wp:positionV>
            <wp:extent cx="3058795" cy="1422400"/>
            <wp:effectExtent l="0" t="0" r="8255" b="6350"/>
            <wp:wrapNone/>
            <wp:docPr id="18" name="图片 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
                    <pic:cNvPicPr>
                      <a:picLocks noChangeAspect="1"/>
                    </pic:cNvPicPr>
                  </pic:nvPicPr>
                  <pic:blipFill>
                    <a:blip r:embed="rId9"/>
                    <a:stretch>
                      <a:fillRect/>
                    </a:stretch>
                  </pic:blipFill>
                  <pic:spPr>
                    <a:xfrm>
                      <a:off x="0" y="0"/>
                      <a:ext cx="3058795" cy="1422400"/>
                    </a:xfrm>
                    <a:prstGeom prst="rect">
                      <a:avLst/>
                    </a:prstGeom>
                  </pic:spPr>
                </pic:pic>
              </a:graphicData>
            </a:graphic>
          </wp:anchor>
        </w:drawing>
      </w:r>
    </w:p>
    <w:p w14:paraId="00D8C593">
      <w:pPr>
        <w:spacing w:line="240" w:lineRule="auto"/>
        <w:ind w:firstLine="482" w:firstLineChars="200"/>
        <w:jc w:val="both"/>
        <w:rPr>
          <w:rFonts w:hint="eastAsia" w:ascii="宋体" w:hAnsi="宋体" w:eastAsia="宋体"/>
          <w:b/>
          <w:bCs/>
          <w:sz w:val="24"/>
          <w:lang w:val="en-US" w:eastAsia="zh-CN"/>
        </w:rPr>
      </w:pPr>
    </w:p>
    <w:p w14:paraId="545BCF88">
      <w:pPr>
        <w:spacing w:line="240" w:lineRule="auto"/>
        <w:ind w:firstLine="482" w:firstLineChars="200"/>
        <w:jc w:val="both"/>
        <w:rPr>
          <w:rFonts w:hint="eastAsia" w:ascii="宋体" w:hAnsi="宋体" w:eastAsia="宋体"/>
          <w:b/>
          <w:bCs/>
          <w:sz w:val="24"/>
          <w:lang w:val="en-US" w:eastAsia="zh-CN"/>
        </w:rPr>
      </w:pPr>
    </w:p>
    <w:p w14:paraId="29C93AB5">
      <w:pPr>
        <w:spacing w:line="240" w:lineRule="auto"/>
        <w:ind w:firstLine="482" w:firstLineChars="200"/>
        <w:jc w:val="both"/>
        <w:rPr>
          <w:rFonts w:hint="eastAsia" w:ascii="宋体" w:hAnsi="宋体" w:eastAsia="宋体"/>
          <w:b/>
          <w:bCs/>
          <w:sz w:val="24"/>
          <w:lang w:val="en-US" w:eastAsia="zh-CN"/>
        </w:rPr>
      </w:pPr>
    </w:p>
    <w:p w14:paraId="2FF0F35C">
      <w:pPr>
        <w:spacing w:line="240" w:lineRule="auto"/>
        <w:ind w:firstLine="482" w:firstLineChars="200"/>
        <w:jc w:val="both"/>
        <w:rPr>
          <w:rFonts w:hint="eastAsia" w:ascii="宋体" w:hAnsi="宋体" w:eastAsia="宋体"/>
          <w:b/>
          <w:bCs/>
          <w:sz w:val="24"/>
          <w:lang w:val="en-US" w:eastAsia="zh-CN"/>
        </w:rPr>
      </w:pPr>
    </w:p>
    <w:p w14:paraId="28B6B494">
      <w:pPr>
        <w:spacing w:line="240" w:lineRule="auto"/>
        <w:ind w:firstLine="482" w:firstLineChars="200"/>
        <w:jc w:val="both"/>
        <w:rPr>
          <w:rFonts w:hint="eastAsia" w:ascii="宋体" w:hAnsi="宋体" w:eastAsia="宋体"/>
          <w:b/>
          <w:bCs/>
          <w:sz w:val="24"/>
          <w:lang w:val="en-US" w:eastAsia="zh-CN"/>
        </w:rPr>
      </w:pPr>
    </w:p>
    <w:p w14:paraId="6149E5C8">
      <w:pPr>
        <w:spacing w:line="240" w:lineRule="auto"/>
        <w:ind w:firstLine="482" w:firstLineChars="200"/>
        <w:jc w:val="both"/>
        <w:rPr>
          <w:rFonts w:hint="eastAsia" w:ascii="宋体" w:hAnsi="宋体" w:eastAsia="宋体"/>
          <w:b/>
          <w:bCs/>
          <w:sz w:val="24"/>
          <w:lang w:val="en-US" w:eastAsia="zh-CN"/>
        </w:rPr>
      </w:pPr>
    </w:p>
    <w:p w14:paraId="739B97BB">
      <w:pPr>
        <w:spacing w:line="240" w:lineRule="auto"/>
        <w:ind w:firstLine="482" w:firstLineChars="200"/>
        <w:jc w:val="both"/>
        <w:rPr>
          <w:rFonts w:hint="eastAsia" w:ascii="宋体" w:hAnsi="宋体" w:eastAsia="宋体"/>
          <w:b/>
          <w:bCs/>
          <w:sz w:val="24"/>
          <w:lang w:val="en-US" w:eastAsia="zh-CN"/>
        </w:rPr>
      </w:pPr>
    </w:p>
    <w:p w14:paraId="084F82DE">
      <w:pPr>
        <w:spacing w:line="240" w:lineRule="auto"/>
        <w:ind w:firstLine="480" w:firstLineChars="200"/>
        <w:jc w:val="both"/>
        <w:rPr>
          <w:rFonts w:hint="eastAsia" w:ascii="宋体" w:hAnsi="宋体" w:eastAsia="宋体"/>
          <w:sz w:val="24"/>
          <w:lang w:val="en-US" w:eastAsia="zh-CN"/>
        </w:rPr>
      </w:pPr>
      <w:r>
        <w:rPr>
          <w:rFonts w:hint="eastAsia" w:ascii="宋体" w:hAnsi="宋体" w:eastAsia="宋体"/>
          <w:sz w:val="24"/>
          <w:lang w:val="en-US" w:eastAsia="zh-CN"/>
        </w:rPr>
        <w:t>围绕 “材料核心经验”“幼儿行为解读”“互动策略优化” 三大议题，营员们展开深入讨论：</w:t>
      </w:r>
    </w:p>
    <w:p w14:paraId="05798A6B">
      <w:pPr>
        <w:spacing w:line="240" w:lineRule="auto"/>
        <w:ind w:firstLine="482" w:firstLineChars="200"/>
        <w:jc w:val="both"/>
        <w:rPr>
          <w:rFonts w:hint="eastAsia" w:ascii="宋体" w:hAnsi="宋体" w:eastAsia="宋体"/>
          <w:sz w:val="24"/>
          <w:lang w:val="en-US" w:eastAsia="zh-CN"/>
        </w:rPr>
      </w:pPr>
      <w:r>
        <w:rPr>
          <w:rFonts w:hint="eastAsia" w:ascii="宋体" w:hAnsi="宋体" w:eastAsia="宋体"/>
          <w:b/>
          <w:bCs/>
          <w:sz w:val="24"/>
          <w:lang w:val="en-US" w:eastAsia="zh-CN"/>
        </w:rPr>
        <w:t>1.材料核心经验梳理：</w:t>
      </w:r>
      <w:r>
        <w:rPr>
          <w:rFonts w:hint="eastAsia" w:ascii="宋体" w:hAnsi="宋体" w:eastAsia="宋体"/>
          <w:sz w:val="24"/>
          <w:lang w:val="en-US" w:eastAsia="zh-CN"/>
        </w:rPr>
        <w:t>“拆高楼” 游戏蕴含平衡能力（感知重心与承重）、推理预判能力（预演积木抽取后果）、探究能力（试错中总结 “抽中间比抽底层稳” 等策略）、规则意识与协作能力（轮流抽积木、协商规则）等多元价值，教师需先吃透材料教育价值，再开展有效互动。</w:t>
      </w:r>
    </w:p>
    <w:p w14:paraId="205CA037">
      <w:pPr>
        <w:spacing w:line="240" w:lineRule="auto"/>
        <w:ind w:firstLine="482" w:firstLineChars="200"/>
        <w:jc w:val="both"/>
        <w:rPr>
          <w:rFonts w:hint="eastAsia" w:ascii="宋体" w:hAnsi="宋体" w:eastAsia="宋体"/>
          <w:sz w:val="24"/>
          <w:lang w:val="en-US" w:eastAsia="zh-CN"/>
        </w:rPr>
      </w:pPr>
      <w:r>
        <w:rPr>
          <w:rFonts w:hint="eastAsia" w:ascii="宋体" w:hAnsi="宋体" w:eastAsia="宋体"/>
          <w:b/>
          <w:bCs/>
          <w:sz w:val="24"/>
          <w:lang w:val="en-US" w:eastAsia="zh-CN"/>
        </w:rPr>
        <w:t>2.幼儿行为解读：</w:t>
      </w:r>
      <w:r>
        <w:rPr>
          <w:rFonts w:hint="eastAsia" w:ascii="宋体" w:hAnsi="宋体" w:eastAsia="宋体"/>
          <w:sz w:val="24"/>
          <w:lang w:val="en-US" w:eastAsia="zh-CN"/>
        </w:rPr>
        <w:t>聚焦游戏片段中男孩与女孩的差异表现 —— 女孩为得高分执着抽取底层黄色积木（初步具备平衡意识，但未理解底层支撑的关键作用），男孩侧重抽取中间或边缘积木以保持平衡。研讨强调：观察需聚焦幼儿 “方法” 而非仅关注结果（如男孩 “敲打加固积木” 的策略值得集体分享）。</w:t>
      </w:r>
    </w:p>
    <w:p w14:paraId="7A1FCB88">
      <w:pPr>
        <w:spacing w:line="240" w:lineRule="auto"/>
        <w:ind w:firstLine="482" w:firstLineChars="200"/>
        <w:jc w:val="both"/>
        <w:rPr>
          <w:rFonts w:hint="eastAsia" w:ascii="宋体" w:hAnsi="宋体" w:eastAsia="宋体"/>
          <w:sz w:val="24"/>
        </w:rPr>
      </w:pPr>
      <w:r>
        <w:rPr>
          <w:rFonts w:hint="eastAsia" w:ascii="宋体" w:hAnsi="宋体" w:eastAsia="宋体"/>
          <w:b/>
          <w:bCs/>
          <w:sz w:val="24"/>
          <w:lang w:val="en-US" w:eastAsia="zh-CN"/>
        </w:rPr>
        <w:t>3.互动策略优化：</w:t>
      </w:r>
      <w:r>
        <w:rPr>
          <w:rFonts w:hint="eastAsia" w:ascii="宋体" w:hAnsi="宋体" w:eastAsia="宋体"/>
          <w:sz w:val="24"/>
          <w:lang w:val="en-US" w:eastAsia="zh-CN"/>
        </w:rPr>
        <w:t>借助视频、照片记录游戏关键瞬间，作为幼儿反思的 “支架”；将个人经验转化为群体经验（引导幼儿分享操作方法，组织集体讨论）；优化记录方式（围绕 “稳定性探索” 设计记录纸，服务幼儿次日游戏规划）；支持幼儿自主协商规则（如积分方式由幼儿共识决定，融入统计与沟通能力)</w:t>
      </w:r>
      <w:r>
        <w:rPr>
          <w:rFonts w:hint="eastAsia" w:ascii="宋体" w:hAnsi="宋体" w:eastAsia="宋体"/>
          <w:sz w:val="24"/>
        </w:rPr>
        <w:t>。</w:t>
      </w:r>
    </w:p>
    <w:p w14:paraId="422A53E7">
      <w:pPr>
        <w:spacing w:line="240" w:lineRule="auto"/>
        <w:ind w:firstLine="562" w:firstLineChars="200"/>
        <w:jc w:val="both"/>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 04 读书沙龙：让理论之光照亮实践之路</w:t>
      </w:r>
    </w:p>
    <w:p w14:paraId="3565EA18">
      <w:pPr>
        <w:spacing w:line="240" w:lineRule="auto"/>
        <w:ind w:firstLine="562" w:firstLineChars="200"/>
        <w:jc w:val="both"/>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drawing>
          <wp:anchor distT="0" distB="0" distL="114300" distR="114300" simplePos="0" relativeHeight="251666432" behindDoc="0" locked="0" layoutInCell="1" allowOverlap="1">
            <wp:simplePos x="0" y="0"/>
            <wp:positionH relativeFrom="column">
              <wp:posOffset>384175</wp:posOffset>
            </wp:positionH>
            <wp:positionV relativeFrom="paragraph">
              <wp:posOffset>20955</wp:posOffset>
            </wp:positionV>
            <wp:extent cx="2152015" cy="1614170"/>
            <wp:effectExtent l="0" t="0" r="635" b="5080"/>
            <wp:wrapNone/>
            <wp:docPr id="20" name="图片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4"/>
                    <pic:cNvPicPr>
                      <a:picLocks noChangeAspect="1"/>
                    </pic:cNvPicPr>
                  </pic:nvPicPr>
                  <pic:blipFill>
                    <a:blip r:embed="rId10"/>
                    <a:stretch>
                      <a:fillRect/>
                    </a:stretch>
                  </pic:blipFill>
                  <pic:spPr>
                    <a:xfrm>
                      <a:off x="0" y="0"/>
                      <a:ext cx="2152015" cy="1614170"/>
                    </a:xfrm>
                    <a:prstGeom prst="rect">
                      <a:avLst/>
                    </a:prstGeom>
                  </pic:spPr>
                </pic:pic>
              </a:graphicData>
            </a:graphic>
          </wp:anchor>
        </w:drawing>
      </w:r>
    </w:p>
    <w:p w14:paraId="55B23B95">
      <w:pPr>
        <w:spacing w:line="240" w:lineRule="auto"/>
        <w:ind w:firstLine="562" w:firstLineChars="200"/>
        <w:jc w:val="both"/>
        <w:rPr>
          <w:rFonts w:hint="eastAsia" w:ascii="黑体" w:hAnsi="黑体" w:eastAsia="黑体" w:cs="黑体"/>
          <w:b/>
          <w:bCs w:val="0"/>
          <w:sz w:val="28"/>
          <w:szCs w:val="28"/>
          <w:shd w:val="clear" w:color="FFFFFF" w:fill="D9D9D9"/>
          <w:lang w:val="en-US" w:eastAsia="zh-CN"/>
        </w:rPr>
      </w:pPr>
    </w:p>
    <w:p w14:paraId="26FA86C8">
      <w:pPr>
        <w:spacing w:line="240" w:lineRule="auto"/>
        <w:ind w:firstLine="562" w:firstLineChars="200"/>
        <w:jc w:val="both"/>
        <w:rPr>
          <w:rFonts w:hint="eastAsia" w:ascii="黑体" w:hAnsi="黑体" w:eastAsia="黑体" w:cs="黑体"/>
          <w:b/>
          <w:bCs w:val="0"/>
          <w:sz w:val="28"/>
          <w:szCs w:val="28"/>
          <w:shd w:val="clear" w:color="FFFFFF" w:fill="D9D9D9"/>
          <w:lang w:val="en-US" w:eastAsia="zh-CN"/>
        </w:rPr>
      </w:pPr>
    </w:p>
    <w:p w14:paraId="330D67D1">
      <w:pPr>
        <w:spacing w:line="240" w:lineRule="auto"/>
        <w:ind w:firstLine="562" w:firstLineChars="200"/>
        <w:jc w:val="both"/>
        <w:rPr>
          <w:rFonts w:hint="eastAsia" w:ascii="黑体" w:hAnsi="黑体" w:eastAsia="黑体" w:cs="黑体"/>
          <w:b/>
          <w:bCs w:val="0"/>
          <w:sz w:val="28"/>
          <w:szCs w:val="28"/>
          <w:shd w:val="clear" w:color="FFFFFF" w:fill="D9D9D9"/>
          <w:lang w:val="en-US" w:eastAsia="zh-CN"/>
        </w:rPr>
      </w:pPr>
    </w:p>
    <w:p w14:paraId="22520E7F">
      <w:pPr>
        <w:spacing w:line="240" w:lineRule="auto"/>
        <w:ind w:firstLine="480" w:firstLineChars="200"/>
        <w:jc w:val="left"/>
        <w:rPr>
          <w:rFonts w:hint="eastAsia" w:ascii="宋体" w:hAnsi="宋体" w:eastAsia="宋体" w:cs="宋体"/>
          <w:bCs/>
          <w:sz w:val="24"/>
          <w:lang w:val="en-US" w:eastAsia="zh-CN"/>
        </w:rPr>
      </w:pPr>
    </w:p>
    <w:p w14:paraId="1ED90DBD">
      <w:pPr>
        <w:spacing w:line="240" w:lineRule="auto"/>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丁亚丽老师主持读书沙龙，以《评估指南》第 26 条 “支持幼儿自主选择与自主决策” 为核心，解读《第三章：鼓励选择与自主决策》并开展实践研讨：</w:t>
      </w:r>
    </w:p>
    <w:p w14:paraId="44C2DD58">
      <w:pPr>
        <w:spacing w:line="240" w:lineRule="auto"/>
        <w:ind w:firstLine="482" w:firstLineChars="200"/>
        <w:jc w:val="left"/>
        <w:rPr>
          <w:rFonts w:hint="eastAsia" w:ascii="宋体" w:hAnsi="宋体" w:eastAsia="宋体" w:cs="宋体"/>
          <w:bCs/>
          <w:sz w:val="24"/>
          <w:lang w:val="en-US" w:eastAsia="zh-CN"/>
        </w:rPr>
      </w:pPr>
      <w:r>
        <w:rPr>
          <w:rFonts w:hint="eastAsia" w:ascii="宋体" w:hAnsi="宋体" w:eastAsia="宋体" w:cs="宋体"/>
          <w:b/>
          <w:bCs w:val="0"/>
          <w:sz w:val="24"/>
          <w:lang w:val="en-US" w:eastAsia="zh-CN"/>
        </w:rPr>
        <w:t>1.核心概念厘清：</w:t>
      </w:r>
      <w:r>
        <w:rPr>
          <w:rFonts w:hint="eastAsia" w:ascii="宋体" w:hAnsi="宋体" w:eastAsia="宋体" w:cs="宋体"/>
          <w:bCs/>
          <w:sz w:val="24"/>
          <w:lang w:val="en-US" w:eastAsia="zh-CN"/>
        </w:rPr>
        <w:t>“选择性” 不是 “随便选”，而是结合幼儿兴趣与能力，提供多样化游戏材料、玩法与同伴组合；“自主决策” 是支持幼儿按想法做决定并承担自然结果，教师需做好 “支持者” 而非 “指挥者”。</w:t>
      </w:r>
    </w:p>
    <w:p w14:paraId="46920673">
      <w:pPr>
        <w:spacing w:line="240" w:lineRule="auto"/>
        <w:ind w:firstLine="482" w:firstLineChars="200"/>
        <w:jc w:val="left"/>
        <w:rPr>
          <w:rFonts w:hint="eastAsia" w:ascii="宋体" w:hAnsi="宋体" w:eastAsia="宋体" w:cs="宋体"/>
          <w:bCs/>
          <w:sz w:val="24"/>
          <w:lang w:val="en-US" w:eastAsia="zh-CN"/>
        </w:rPr>
      </w:pPr>
      <w:r>
        <w:rPr>
          <w:rFonts w:hint="eastAsia" w:ascii="宋体" w:hAnsi="宋体" w:eastAsia="宋体" w:cs="宋体"/>
          <w:b/>
          <w:bCs w:val="0"/>
          <w:sz w:val="24"/>
          <w:lang w:val="en-US" w:eastAsia="zh-CN"/>
        </w:rPr>
        <w:t>2.实践问题研讨</w:t>
      </w:r>
      <w:r>
        <w:rPr>
          <w:rFonts w:hint="eastAsia" w:ascii="宋体" w:hAnsi="宋体" w:eastAsia="宋体" w:cs="宋体"/>
          <w:bCs/>
          <w:sz w:val="24"/>
          <w:lang w:val="en-US" w:eastAsia="zh-CN"/>
        </w:rPr>
        <w:t>：针对 “孩子做出‘不明智’选择时是否干预” 的问题，营员分组讨论达成共识：不急于干预，而是引导幼儿在试错中学习。</w:t>
      </w:r>
    </w:p>
    <w:p w14:paraId="1B8B0EAC">
      <w:pPr>
        <w:spacing w:line="240" w:lineRule="auto"/>
        <w:ind w:firstLine="482" w:firstLineChars="200"/>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3.“小微行动建议” 提炼：</w:t>
      </w:r>
    </w:p>
    <w:p w14:paraId="760CA18B">
      <w:pPr>
        <w:spacing w:line="240" w:lineRule="auto"/>
        <w:ind w:firstLine="480" w:firstLineChars="200"/>
        <w:jc w:val="left"/>
        <w:rPr>
          <w:rFonts w:hint="eastAsia" w:ascii="宋体" w:hAnsi="宋体" w:eastAsia="宋体" w:cs="宋体"/>
          <w:bCs/>
          <w:sz w:val="24"/>
          <w:szCs w:val="24"/>
          <w:lang w:val="en-US" w:eastAsia="zh-CN"/>
        </w:rPr>
      </w:pPr>
      <w:r>
        <w:rPr>
          <w:rFonts w:hint="eastAsia" w:ascii="宋体" w:hAnsi="宋体" w:eastAsia="宋体" w:cs="宋体"/>
          <w:b w:val="0"/>
          <w:bCs/>
          <w:sz w:val="24"/>
          <w:szCs w:val="24"/>
          <w:lang w:val="en-US" w:eastAsia="zh-CN"/>
        </w:rPr>
        <w:t>·</w:t>
      </w:r>
      <w:r>
        <w:rPr>
          <w:rFonts w:hint="eastAsia" w:ascii="宋体" w:hAnsi="宋体" w:eastAsia="宋体" w:cs="宋体"/>
          <w:bCs/>
          <w:sz w:val="24"/>
          <w:szCs w:val="24"/>
          <w:lang w:val="en-US" w:eastAsia="zh-CN"/>
        </w:rPr>
        <w:t>每日为幼儿提供一次 “二选一” 机会（如 “先洗手还是先喝水”）；</w:t>
      </w:r>
    </w:p>
    <w:p w14:paraId="46BE936E">
      <w:pPr>
        <w:spacing w:line="240" w:lineRule="auto"/>
        <w:ind w:firstLine="482" w:firstLineChars="200"/>
        <w:jc w:val="left"/>
        <w:rPr>
          <w:rFonts w:hint="eastAsia" w:ascii="宋体" w:hAnsi="宋体" w:eastAsia="宋体" w:cs="宋体"/>
          <w:bCs/>
          <w:sz w:val="24"/>
          <w:szCs w:val="24"/>
          <w:lang w:val="en-US" w:eastAsia="zh-CN"/>
        </w:rPr>
      </w:pPr>
      <w:r>
        <w:rPr>
          <w:rFonts w:hint="eastAsia" w:ascii="宋体" w:hAnsi="宋体" w:eastAsia="宋体" w:cs="宋体"/>
          <w:b/>
          <w:bCs w:val="0"/>
          <w:sz w:val="24"/>
          <w:szCs w:val="24"/>
          <w:lang w:val="en-US" w:eastAsia="zh-CN"/>
        </w:rPr>
        <w:t>·</w:t>
      </w:r>
      <w:r>
        <w:rPr>
          <w:rFonts w:hint="eastAsia" w:ascii="宋体" w:hAnsi="宋体" w:eastAsia="宋体" w:cs="宋体"/>
          <w:bCs/>
          <w:sz w:val="24"/>
          <w:szCs w:val="24"/>
          <w:lang w:val="en-US" w:eastAsia="zh-CN"/>
        </w:rPr>
        <w:t>幼儿失败时，优先提问 “你发现什么了？”，将纠错转化为探究；</w:t>
      </w:r>
    </w:p>
    <w:p w14:paraId="090FB7C4">
      <w:pPr>
        <w:spacing w:line="240" w:lineRule="auto"/>
        <w:ind w:firstLine="482" w:firstLineChars="200"/>
        <w:jc w:val="left"/>
        <w:rPr>
          <w:rFonts w:hint="eastAsia" w:ascii="宋体" w:hAnsi="宋体" w:eastAsia="宋体" w:cs="宋体"/>
          <w:bCs/>
          <w:sz w:val="24"/>
          <w:szCs w:val="24"/>
          <w:lang w:val="en-US" w:eastAsia="zh-CN"/>
        </w:rPr>
      </w:pPr>
      <w:r>
        <w:rPr>
          <w:rFonts w:hint="eastAsia" w:ascii="宋体" w:hAnsi="宋体" w:eastAsia="宋体" w:cs="宋体"/>
          <w:b/>
          <w:bCs w:val="0"/>
          <w:sz w:val="24"/>
          <w:szCs w:val="24"/>
          <w:lang w:val="en-US" w:eastAsia="zh-CN"/>
        </w:rPr>
        <w:t>·</w:t>
      </w:r>
      <w:r>
        <w:rPr>
          <w:rFonts w:hint="eastAsia" w:ascii="宋体" w:hAnsi="宋体" w:eastAsia="宋体" w:cs="宋体"/>
          <w:bCs/>
          <w:sz w:val="24"/>
          <w:szCs w:val="24"/>
          <w:lang w:val="en-US" w:eastAsia="zh-CN"/>
        </w:rPr>
        <w:t>每周让幼儿决定班级一件小事（如 “今日歌曲”“区域规则”）。</w:t>
      </w:r>
    </w:p>
    <w:p w14:paraId="7527ADA2">
      <w:pPr>
        <w:spacing w:line="360" w:lineRule="auto"/>
        <w:ind w:firstLine="562" w:firstLineChars="200"/>
        <w:jc w:val="left"/>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t>Part05专业引领：以初心守望教育美好</w:t>
      </w:r>
    </w:p>
    <w:p w14:paraId="563E700B">
      <w:pPr>
        <w:spacing w:line="360" w:lineRule="auto"/>
        <w:jc w:val="left"/>
        <w:rPr>
          <w:rFonts w:hint="eastAsia" w:ascii="黑体" w:hAnsi="黑体" w:eastAsia="黑体" w:cs="黑体"/>
          <w:b/>
          <w:bCs w:val="0"/>
          <w:sz w:val="28"/>
          <w:szCs w:val="28"/>
          <w:shd w:val="clear" w:color="FFFFFF" w:fill="D9D9D9"/>
          <w:lang w:val="en-US" w:eastAsia="zh-CN"/>
        </w:rPr>
      </w:pPr>
      <w:r>
        <w:rPr>
          <w:rFonts w:hint="eastAsia" w:ascii="黑体" w:hAnsi="黑体" w:eastAsia="黑体" w:cs="黑体"/>
          <w:b/>
          <w:bCs w:val="0"/>
          <w:sz w:val="28"/>
          <w:szCs w:val="28"/>
          <w:shd w:val="clear" w:color="FFFFFF" w:fill="D9D9D9"/>
          <w:lang w:val="en-US" w:eastAsia="zh-CN"/>
        </w:rPr>
        <w:drawing>
          <wp:anchor distT="0" distB="0" distL="114300" distR="114300" simplePos="0" relativeHeight="251667456" behindDoc="0" locked="0" layoutInCell="1" allowOverlap="1">
            <wp:simplePos x="0" y="0"/>
            <wp:positionH relativeFrom="column">
              <wp:posOffset>323850</wp:posOffset>
            </wp:positionH>
            <wp:positionV relativeFrom="paragraph">
              <wp:posOffset>11430</wp:posOffset>
            </wp:positionV>
            <wp:extent cx="3195955" cy="1485900"/>
            <wp:effectExtent l="0" t="0" r="4445" b="0"/>
            <wp:wrapNone/>
            <wp:docPr id="21" name="图片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
                    <pic:cNvPicPr>
                      <a:picLocks noChangeAspect="1"/>
                    </pic:cNvPicPr>
                  </pic:nvPicPr>
                  <pic:blipFill>
                    <a:blip r:embed="rId11"/>
                    <a:stretch>
                      <a:fillRect/>
                    </a:stretch>
                  </pic:blipFill>
                  <pic:spPr>
                    <a:xfrm>
                      <a:off x="0" y="0"/>
                      <a:ext cx="3195955" cy="1485900"/>
                    </a:xfrm>
                    <a:prstGeom prst="rect">
                      <a:avLst/>
                    </a:prstGeom>
                  </pic:spPr>
                </pic:pic>
              </a:graphicData>
            </a:graphic>
          </wp:anchor>
        </w:drawing>
      </w:r>
    </w:p>
    <w:p w14:paraId="6687E438">
      <w:pPr>
        <w:ind w:firstLine="482"/>
        <w:rPr>
          <w:rFonts w:hint="eastAsia" w:ascii="宋体" w:hAnsi="宋体" w:eastAsia="宋体"/>
          <w:b w:val="0"/>
          <w:bCs w:val="0"/>
          <w:sz w:val="24"/>
          <w:lang w:eastAsia="zh-CN"/>
        </w:rPr>
      </w:pPr>
    </w:p>
    <w:p w14:paraId="7231BED3">
      <w:pPr>
        <w:ind w:firstLine="482"/>
        <w:rPr>
          <w:rFonts w:hint="eastAsia" w:ascii="宋体" w:hAnsi="宋体" w:eastAsia="宋体"/>
          <w:b w:val="0"/>
          <w:bCs w:val="0"/>
          <w:sz w:val="24"/>
          <w:lang w:eastAsia="zh-CN"/>
        </w:rPr>
      </w:pPr>
    </w:p>
    <w:p w14:paraId="5D1FF508">
      <w:pPr>
        <w:ind w:firstLine="482"/>
        <w:rPr>
          <w:rFonts w:hint="eastAsia" w:ascii="宋体" w:hAnsi="宋体" w:eastAsia="宋体"/>
          <w:b w:val="0"/>
          <w:bCs w:val="0"/>
          <w:sz w:val="24"/>
          <w:lang w:eastAsia="zh-CN"/>
        </w:rPr>
      </w:pPr>
    </w:p>
    <w:p w14:paraId="360608A1">
      <w:pPr>
        <w:ind w:firstLine="482"/>
        <w:rPr>
          <w:rFonts w:hint="eastAsia" w:ascii="宋体" w:hAnsi="宋体" w:eastAsia="宋体"/>
          <w:b w:val="0"/>
          <w:bCs w:val="0"/>
          <w:sz w:val="24"/>
          <w:lang w:eastAsia="zh-CN"/>
        </w:rPr>
      </w:pPr>
    </w:p>
    <w:p w14:paraId="2019FDAB">
      <w:pPr>
        <w:ind w:firstLine="482"/>
        <w:rPr>
          <w:rFonts w:hint="eastAsia" w:ascii="宋体" w:hAnsi="宋体" w:eastAsia="宋体"/>
          <w:b w:val="0"/>
          <w:bCs w:val="0"/>
          <w:sz w:val="24"/>
          <w:lang w:eastAsia="zh-CN"/>
        </w:rPr>
      </w:pPr>
    </w:p>
    <w:p w14:paraId="7864B35B">
      <w:pPr>
        <w:rPr>
          <w:rFonts w:hint="eastAsia" w:ascii="宋体" w:hAnsi="宋体" w:eastAsia="宋体"/>
          <w:b w:val="0"/>
          <w:bCs w:val="0"/>
          <w:sz w:val="24"/>
          <w:lang w:eastAsia="zh-CN"/>
        </w:rPr>
      </w:pPr>
    </w:p>
    <w:p w14:paraId="0146616C">
      <w:pPr>
        <w:ind w:firstLine="482"/>
        <w:rPr>
          <w:rFonts w:hint="eastAsia" w:ascii="宋体" w:hAnsi="宋体" w:eastAsia="宋体"/>
          <w:b w:val="0"/>
          <w:bCs w:val="0"/>
          <w:sz w:val="24"/>
          <w:lang w:eastAsia="zh-CN"/>
        </w:rPr>
      </w:pPr>
      <w:r>
        <w:rPr>
          <w:rFonts w:hint="eastAsia" w:ascii="宋体" w:hAnsi="宋体" w:eastAsia="宋体"/>
          <w:b w:val="0"/>
          <w:bCs w:val="0"/>
          <w:sz w:val="24"/>
          <w:lang w:eastAsia="zh-CN"/>
        </w:rPr>
        <w:t>活动最后，领衔人徐志国老师进行高位引领，分享四点核心感悟、提出高质量师幼互动五大立点，并以三句教育寄语收尾：</w:t>
      </w:r>
    </w:p>
    <w:p w14:paraId="78B36D6A">
      <w:pPr>
        <w:ind w:firstLine="482"/>
        <w:rPr>
          <w:rFonts w:hint="default" w:ascii="宋体" w:hAnsi="宋体" w:eastAsia="宋体"/>
          <w:b/>
          <w:bCs/>
          <w:sz w:val="24"/>
          <w:lang w:val="en-US" w:eastAsia="zh-CN"/>
        </w:rPr>
      </w:pPr>
      <w:r>
        <w:rPr>
          <w:rFonts w:hint="eastAsia" w:ascii="宋体" w:hAnsi="宋体" w:eastAsia="宋体"/>
          <w:b/>
          <w:bCs/>
          <w:sz w:val="24"/>
          <w:lang w:eastAsia="zh-CN"/>
        </w:rPr>
        <w:t>一、四点核心感悟</w:t>
      </w:r>
      <w:r>
        <w:rPr>
          <w:rFonts w:hint="eastAsia" w:ascii="宋体" w:hAnsi="宋体" w:eastAsia="宋体"/>
          <w:b/>
          <w:bCs/>
          <w:sz w:val="24"/>
          <w:lang w:val="en-US" w:eastAsia="zh-CN"/>
        </w:rPr>
        <w:t>:</w:t>
      </w:r>
    </w:p>
    <w:p w14:paraId="379CFB36">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1.</w:t>
      </w:r>
      <w:r>
        <w:rPr>
          <w:rFonts w:hint="eastAsia" w:ascii="宋体" w:hAnsi="宋体" w:eastAsia="宋体"/>
          <w:b w:val="0"/>
          <w:bCs w:val="0"/>
          <w:sz w:val="24"/>
          <w:lang w:eastAsia="zh-CN"/>
        </w:rPr>
        <w:t>课改的最大福利是 “儿童愿意与成人共享每一段时光”，好的教育场景能让成人自然融入，点燃对教育本质的思考；</w:t>
      </w:r>
    </w:p>
    <w:p w14:paraId="3A60AA7A">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2.</w:t>
      </w:r>
      <w:r>
        <w:rPr>
          <w:rFonts w:hint="eastAsia" w:ascii="宋体" w:hAnsi="宋体" w:eastAsia="宋体"/>
          <w:b w:val="0"/>
          <w:bCs w:val="0"/>
          <w:sz w:val="24"/>
          <w:lang w:eastAsia="zh-CN"/>
        </w:rPr>
        <w:t>优质教育的本质是 “让每个孩子被发现、被接纳、被推动，对明天充满期待”，尊重个体差异，为不同发展节奏的幼儿提供适宜支持；</w:t>
      </w:r>
    </w:p>
    <w:p w14:paraId="610E65E5">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3.</w:t>
      </w:r>
      <w:r>
        <w:rPr>
          <w:rFonts w:hint="eastAsia" w:ascii="宋体" w:hAnsi="宋体" w:eastAsia="宋体"/>
          <w:b w:val="0"/>
          <w:bCs w:val="0"/>
          <w:sz w:val="24"/>
          <w:lang w:eastAsia="zh-CN"/>
        </w:rPr>
        <w:t>教研的核心价值是 “把研究画在现场，转化为实战力量”，聚焦真实问题，将研讨成果转化为班级实践；</w:t>
      </w:r>
    </w:p>
    <w:p w14:paraId="065E6136">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4.</w:t>
      </w:r>
      <w:r>
        <w:rPr>
          <w:rFonts w:hint="eastAsia" w:ascii="宋体" w:hAnsi="宋体" w:eastAsia="宋体"/>
          <w:b w:val="0"/>
          <w:bCs w:val="0"/>
          <w:sz w:val="24"/>
          <w:lang w:eastAsia="zh-CN"/>
        </w:rPr>
        <w:t>优质活动的逻辑是 “成人在尊重儿童基础上的有心策划”，好的课程需以儿童兴趣与发展规律为前提，精心设计而非依赖 “临场发挥”。</w:t>
      </w:r>
    </w:p>
    <w:p w14:paraId="31453799">
      <w:pPr>
        <w:ind w:firstLine="482"/>
        <w:rPr>
          <w:rFonts w:hint="default" w:ascii="宋体" w:hAnsi="宋体" w:eastAsia="宋体"/>
          <w:b w:val="0"/>
          <w:bCs w:val="0"/>
          <w:sz w:val="24"/>
          <w:lang w:val="en-US" w:eastAsia="zh-CN"/>
        </w:rPr>
      </w:pPr>
      <w:r>
        <w:rPr>
          <w:rFonts w:hint="eastAsia" w:ascii="宋体" w:hAnsi="宋体" w:eastAsia="宋体"/>
          <w:b/>
          <w:bCs/>
          <w:sz w:val="24"/>
          <w:lang w:eastAsia="zh-CN"/>
        </w:rPr>
        <w:t>二、高质量师幼互动五大立点</w:t>
      </w:r>
      <w:r>
        <w:rPr>
          <w:rFonts w:hint="eastAsia" w:ascii="宋体" w:hAnsi="宋体" w:eastAsia="宋体"/>
          <w:b/>
          <w:bCs/>
          <w:sz w:val="24"/>
          <w:lang w:val="en-US" w:eastAsia="zh-CN"/>
        </w:rPr>
        <w:t>:</w:t>
      </w:r>
    </w:p>
    <w:p w14:paraId="6B219942">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1.</w:t>
      </w:r>
      <w:r>
        <w:rPr>
          <w:rFonts w:hint="eastAsia" w:ascii="宋体" w:hAnsi="宋体" w:eastAsia="宋体"/>
          <w:b w:val="0"/>
          <w:bCs w:val="0"/>
          <w:sz w:val="24"/>
          <w:lang w:eastAsia="zh-CN"/>
        </w:rPr>
        <w:t>以有效观察倾听为前提（读懂幼儿行为与需求）；</w:t>
      </w:r>
    </w:p>
    <w:p w14:paraId="1EE2FE66">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2.</w:t>
      </w:r>
      <w:r>
        <w:rPr>
          <w:rFonts w:hint="eastAsia" w:ascii="宋体" w:hAnsi="宋体" w:eastAsia="宋体"/>
          <w:b w:val="0"/>
          <w:bCs w:val="0"/>
          <w:sz w:val="24"/>
          <w:lang w:eastAsia="zh-CN"/>
        </w:rPr>
        <w:t>以《纲要》《指南》为基础（把握幼儿发展目标与关键经验）；</w:t>
      </w:r>
    </w:p>
    <w:p w14:paraId="3B9E74CB">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3.</w:t>
      </w:r>
      <w:r>
        <w:rPr>
          <w:rFonts w:hint="eastAsia" w:ascii="宋体" w:hAnsi="宋体" w:eastAsia="宋体"/>
          <w:b w:val="0"/>
          <w:bCs w:val="0"/>
          <w:sz w:val="24"/>
          <w:lang w:eastAsia="zh-CN"/>
        </w:rPr>
        <w:t>以幼儿前段经验与现实需求为依据（衔接过往经验与当下发展）；</w:t>
      </w:r>
    </w:p>
    <w:p w14:paraId="31CC8364">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4.</w:t>
      </w:r>
      <w:r>
        <w:rPr>
          <w:rFonts w:hint="eastAsia" w:ascii="宋体" w:hAnsi="宋体" w:eastAsia="宋体"/>
          <w:b w:val="0"/>
          <w:bCs w:val="0"/>
          <w:sz w:val="24"/>
          <w:lang w:eastAsia="zh-CN"/>
        </w:rPr>
        <w:t>以经验共享与问题共解为核心（推动幼儿相互学习、共同解决问题）；</w:t>
      </w:r>
    </w:p>
    <w:p w14:paraId="675583AF">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5.</w:t>
      </w:r>
      <w:r>
        <w:rPr>
          <w:rFonts w:hint="eastAsia" w:ascii="宋体" w:hAnsi="宋体" w:eastAsia="宋体"/>
          <w:b w:val="0"/>
          <w:bCs w:val="0"/>
          <w:sz w:val="24"/>
          <w:lang w:eastAsia="zh-CN"/>
        </w:rPr>
        <w:t>以为幼儿明天的发展谋划新可能为目的（为次日游戏与经验进阶铺垫）。</w:t>
      </w:r>
    </w:p>
    <w:p w14:paraId="3308A483">
      <w:pPr>
        <w:ind w:firstLine="482"/>
        <w:rPr>
          <w:rFonts w:hint="default" w:ascii="宋体" w:hAnsi="宋体" w:eastAsia="宋体"/>
          <w:b/>
          <w:bCs/>
          <w:sz w:val="24"/>
          <w:lang w:val="en-US" w:eastAsia="zh-CN"/>
        </w:rPr>
      </w:pPr>
      <w:r>
        <w:rPr>
          <w:rFonts w:hint="eastAsia" w:ascii="宋体" w:hAnsi="宋体" w:eastAsia="宋体"/>
          <w:b/>
          <w:bCs/>
          <w:sz w:val="24"/>
          <w:lang w:eastAsia="zh-CN"/>
        </w:rPr>
        <w:t>三、教育寄语</w:t>
      </w:r>
      <w:r>
        <w:rPr>
          <w:rFonts w:hint="eastAsia" w:ascii="宋体" w:hAnsi="宋体" w:eastAsia="宋体"/>
          <w:b/>
          <w:bCs/>
          <w:sz w:val="24"/>
          <w:lang w:val="en-US" w:eastAsia="zh-CN"/>
        </w:rPr>
        <w:t>:</w:t>
      </w:r>
    </w:p>
    <w:p w14:paraId="3A30CD2E">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1.</w:t>
      </w:r>
      <w:r>
        <w:rPr>
          <w:rFonts w:hint="eastAsia" w:ascii="宋体" w:hAnsi="宋体" w:eastAsia="宋体"/>
          <w:b w:val="0"/>
          <w:bCs w:val="0"/>
          <w:sz w:val="24"/>
          <w:lang w:eastAsia="zh-CN"/>
        </w:rPr>
        <w:t>让幼儿相信 “我能学会”，比给予答案更有力量；</w:t>
      </w:r>
    </w:p>
    <w:p w14:paraId="7061E572">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2.</w:t>
      </w:r>
      <w:r>
        <w:rPr>
          <w:rFonts w:hint="eastAsia" w:ascii="宋体" w:hAnsi="宋体" w:eastAsia="宋体"/>
          <w:b w:val="0"/>
          <w:bCs w:val="0"/>
          <w:sz w:val="24"/>
          <w:lang w:eastAsia="zh-CN"/>
        </w:rPr>
        <w:t>看见幼儿探索过程的闪光，比赞美结果更能点燃热爱；</w:t>
      </w:r>
    </w:p>
    <w:p w14:paraId="429C90C1">
      <w:pPr>
        <w:ind w:firstLine="482"/>
        <w:rPr>
          <w:rFonts w:hint="eastAsia" w:ascii="宋体" w:hAnsi="宋体" w:eastAsia="宋体"/>
          <w:b w:val="0"/>
          <w:bCs w:val="0"/>
          <w:sz w:val="24"/>
          <w:lang w:eastAsia="zh-CN"/>
        </w:rPr>
      </w:pPr>
      <w:r>
        <w:rPr>
          <w:rFonts w:hint="eastAsia" w:ascii="宋体" w:hAnsi="宋体" w:eastAsia="宋体"/>
          <w:b w:val="0"/>
          <w:bCs w:val="0"/>
          <w:sz w:val="24"/>
          <w:lang w:val="en-US" w:eastAsia="zh-CN"/>
        </w:rPr>
        <w:t>3.</w:t>
      </w:r>
      <w:r>
        <w:rPr>
          <w:rFonts w:hint="eastAsia" w:ascii="宋体" w:hAnsi="宋体" w:eastAsia="宋体"/>
          <w:b w:val="0"/>
          <w:bCs w:val="0"/>
          <w:sz w:val="24"/>
          <w:lang w:eastAsia="zh-CN"/>
        </w:rPr>
        <w:t>引导幼儿从错误中学习，比简单成功更有价值；教育者的平和稳定，是幼儿自由成长的保障。</w:t>
      </w:r>
    </w:p>
    <w:p w14:paraId="7687D5AA">
      <w:pPr>
        <w:ind w:firstLine="482"/>
        <w:rPr>
          <w:rFonts w:hint="eastAsia" w:ascii="宋体" w:hAnsi="宋体" w:eastAsia="宋体"/>
          <w:b w:val="0"/>
          <w:bCs w:val="0"/>
          <w:sz w:val="24"/>
          <w:lang w:val="en-US" w:eastAsia="zh-CN"/>
        </w:rPr>
      </w:pPr>
      <w:r>
        <w:rPr>
          <w:rFonts w:hint="eastAsia" w:ascii="宋体" w:hAnsi="宋体" w:eastAsia="宋体"/>
          <w:b w:val="0"/>
          <w:bCs w:val="0"/>
          <w:sz w:val="24"/>
          <w:lang w:val="en-US" w:eastAsia="zh-CN"/>
        </w:rPr>
        <w:t>此次第 48 次成长营活动，以实践为根基、以研讨为纽带，凝聚了 “看见每一个、接纳每一个、发展每一个” 的教育共识。后续，营员们将把活动中提炼的实践策略（如区域游戏互动技巧、户外活动设计方法、师幼互动五大立点）转化为班级教育实践，推动专业成长向深处扎根，让高质量幼儿教育在日常教学中落地生根。</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6AB"/>
    <w:rsid w:val="000A2229"/>
    <w:rsid w:val="00162B8A"/>
    <w:rsid w:val="00166682"/>
    <w:rsid w:val="001E6E31"/>
    <w:rsid w:val="002A1E97"/>
    <w:rsid w:val="002A7C3D"/>
    <w:rsid w:val="002B6338"/>
    <w:rsid w:val="003C2E55"/>
    <w:rsid w:val="004035EE"/>
    <w:rsid w:val="00551169"/>
    <w:rsid w:val="00645098"/>
    <w:rsid w:val="00657FEC"/>
    <w:rsid w:val="006865F5"/>
    <w:rsid w:val="006C0483"/>
    <w:rsid w:val="006E776E"/>
    <w:rsid w:val="00712B67"/>
    <w:rsid w:val="00733D65"/>
    <w:rsid w:val="007B0D9B"/>
    <w:rsid w:val="00825430"/>
    <w:rsid w:val="00827133"/>
    <w:rsid w:val="0091738F"/>
    <w:rsid w:val="00993BF0"/>
    <w:rsid w:val="009A48FB"/>
    <w:rsid w:val="009B50A4"/>
    <w:rsid w:val="00A40A4A"/>
    <w:rsid w:val="00A86D3C"/>
    <w:rsid w:val="00B036F3"/>
    <w:rsid w:val="00B426C8"/>
    <w:rsid w:val="00B604A9"/>
    <w:rsid w:val="00B846AB"/>
    <w:rsid w:val="00B94AE2"/>
    <w:rsid w:val="00BA3DF3"/>
    <w:rsid w:val="00BB319E"/>
    <w:rsid w:val="00C05957"/>
    <w:rsid w:val="00D03554"/>
    <w:rsid w:val="00D149CA"/>
    <w:rsid w:val="00D3347B"/>
    <w:rsid w:val="00E01D04"/>
    <w:rsid w:val="00E35DE5"/>
    <w:rsid w:val="00E528D6"/>
    <w:rsid w:val="00F40D23"/>
    <w:rsid w:val="00F91B95"/>
    <w:rsid w:val="065D710A"/>
    <w:rsid w:val="10CF6E57"/>
    <w:rsid w:val="12647A72"/>
    <w:rsid w:val="17AB5071"/>
    <w:rsid w:val="201868BF"/>
    <w:rsid w:val="21676C37"/>
    <w:rsid w:val="216F49AF"/>
    <w:rsid w:val="29A41545"/>
    <w:rsid w:val="2C2534E6"/>
    <w:rsid w:val="2FEC137B"/>
    <w:rsid w:val="30C47C0F"/>
    <w:rsid w:val="32BF0681"/>
    <w:rsid w:val="3417273F"/>
    <w:rsid w:val="39FA28E7"/>
    <w:rsid w:val="3B806E1C"/>
    <w:rsid w:val="477A6F52"/>
    <w:rsid w:val="48901397"/>
    <w:rsid w:val="5214298C"/>
    <w:rsid w:val="5AA9271B"/>
    <w:rsid w:val="5B497397"/>
    <w:rsid w:val="5C6B04F5"/>
    <w:rsid w:val="5D001F09"/>
    <w:rsid w:val="5FF425BC"/>
    <w:rsid w:val="61F061FA"/>
    <w:rsid w:val="62943029"/>
    <w:rsid w:val="66045B9D"/>
    <w:rsid w:val="694110E9"/>
    <w:rsid w:val="6C4D7D09"/>
    <w:rsid w:val="6CD45EDE"/>
    <w:rsid w:val="6D237483"/>
    <w:rsid w:val="70787AE6"/>
    <w:rsid w:val="750C6A4F"/>
    <w:rsid w:val="7876516E"/>
    <w:rsid w:val="7B74406A"/>
    <w:rsid w:val="7B9D4258"/>
    <w:rsid w:val="7BCA64C6"/>
    <w:rsid w:val="7EA47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iPriority="1" w:semiHidden="0"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unhideWhenUsed="0" w:uiPriority="99"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qFormat="1" w:unhideWhenUsed="0" w:uiPriority="0"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uiPriority w:val="9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页眉 字符"/>
    <w:basedOn w:val="9"/>
    <w:link w:val="5"/>
    <w:qFormat/>
    <w:uiPriority w:val="0"/>
    <w:rPr>
      <w:kern w:val="2"/>
      <w:sz w:val="18"/>
      <w:szCs w:val="18"/>
    </w:rPr>
  </w:style>
  <w:style w:type="character" w:customStyle="1" w:styleId="12">
    <w:name w:val="页脚 字符"/>
    <w:basedOn w:val="9"/>
    <w:link w:val="4"/>
    <w:qFormat/>
    <w:uiPriority w:val="0"/>
    <w:rPr>
      <w:kern w:val="2"/>
      <w:sz w:val="18"/>
      <w:szCs w:val="18"/>
    </w:rPr>
  </w:style>
  <w:style w:type="paragraph" w:styleId="13">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7257</Words>
  <Characters>7352</Characters>
  <Lines>24</Lines>
  <Paragraphs>6</Paragraphs>
  <TotalTime>171</TotalTime>
  <ScaleCrop>false</ScaleCrop>
  <LinksUpToDate>false</LinksUpToDate>
  <CharactersWithSpaces>7410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2022-12-16T05:47:00Z</dcterms:created>
  <dc:creator>user</dc:creator>
  <cp:lastModifiedBy>若若若</cp:lastModifiedBy>
  <dcterms:modified xsi:type="dcterms:W3CDTF">2026-01-26T04:56:44Z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2589CB181B4544FE9A90DB7C66597A39_13</vt:lpwstr>
  </property>
  <property fmtid="{D5CDD505-2E9C-101B-9397-08002B2CF9AE}" pid="4" name="KSOTemplateDocerSaveRecord">
    <vt:lpwstr>eyJoZGlkIjoiZjc5ZDVkZmU2Yjc0MDk5YTRlZmE1ZmJlNmRmZDhmMDEiLCJ1c2VySWQiOiI0NDIwODY2MTIifQ==</vt:lpwstr>
  </property>
</Properties>
</file>