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79229E6">
      <w:pPr>
        <w:widowControl/>
        <w:spacing w:line="360" w:lineRule="auto"/>
        <w:jc w:val="center"/>
        <w:textAlignment w:val="center"/>
        <w:rPr>
          <w:rFonts w:hint="eastAsia" w:ascii="黑体" w:hAnsi="黑体" w:eastAsia="黑体" w:cs="黑体"/>
          <w:b/>
          <w:bCs/>
          <w:color w:val="000000"/>
          <w:kern w:val="0"/>
          <w:sz w:val="28"/>
          <w:szCs w:val="28"/>
          <w:lang w:val="en-US" w:eastAsia="zh-CN" w:bidi="ar-SA"/>
        </w:rPr>
      </w:pPr>
      <w:r>
        <w:rPr>
          <w:rFonts w:hint="eastAsia" w:ascii="黑体" w:hAnsi="黑体" w:eastAsia="黑体" w:cs="黑体"/>
          <w:b/>
          <w:bCs/>
          <w:color w:val="000000"/>
          <w:kern w:val="0"/>
          <w:sz w:val="28"/>
          <w:szCs w:val="28"/>
          <w:lang w:val="en-US" w:eastAsia="zh-CN" w:bidi="ar-SA"/>
        </w:rPr>
        <w:t>新北区徐志国卓越教师成长营区域游戏开放安排表</w:t>
      </w:r>
    </w:p>
    <w:p w14:paraId="61E6727B">
      <w:pPr>
        <w:widowControl/>
        <w:spacing w:line="360" w:lineRule="auto"/>
        <w:jc w:val="center"/>
        <w:textAlignment w:val="center"/>
        <w:rPr>
          <w:rFonts w:hint="eastAsia" w:ascii="宋体" w:hAnsi="宋体" w:eastAsia="宋体" w:cs="宋体"/>
          <w:b w:val="0"/>
          <w:bCs w:val="0"/>
          <w:color w:val="000000"/>
          <w:kern w:val="0"/>
          <w:sz w:val="21"/>
          <w:szCs w:val="21"/>
          <w:u w:val="single"/>
          <w:lang w:val="en-US" w:eastAsia="zh-CN" w:bidi="ar-SA"/>
        </w:rPr>
      </w:pPr>
      <w:r>
        <w:rPr>
          <w:rFonts w:hint="eastAsia" w:ascii="宋体" w:hAnsi="宋体" w:eastAsia="宋体" w:cs="宋体"/>
          <w:b w:val="0"/>
          <w:bCs w:val="0"/>
          <w:color w:val="000000"/>
          <w:kern w:val="0"/>
          <w:sz w:val="21"/>
          <w:szCs w:val="21"/>
          <w:lang w:val="en-US" w:eastAsia="zh-CN" w:bidi="ar-SA"/>
        </w:rPr>
        <w:t>开放地点：</w:t>
      </w:r>
      <w:r>
        <w:rPr>
          <w:rFonts w:hint="eastAsia" w:ascii="宋体" w:hAnsi="宋体" w:eastAsia="宋体" w:cs="宋体"/>
          <w:b w:val="0"/>
          <w:bCs w:val="0"/>
          <w:color w:val="000000"/>
          <w:kern w:val="0"/>
          <w:sz w:val="21"/>
          <w:szCs w:val="21"/>
          <w:u w:val="single"/>
          <w:lang w:val="en-US" w:eastAsia="zh-CN" w:bidi="ar-SA"/>
        </w:rPr>
        <w:t>常州市新北区银河香槟湖幼儿园（前桥园区）中一班</w:t>
      </w:r>
      <w:r>
        <w:rPr>
          <w:rFonts w:hint="eastAsia" w:ascii="宋体" w:hAnsi="宋体" w:eastAsia="宋体" w:cs="宋体"/>
          <w:b w:val="0"/>
          <w:bCs w:val="0"/>
          <w:color w:val="000000"/>
          <w:kern w:val="0"/>
          <w:sz w:val="21"/>
          <w:szCs w:val="21"/>
          <w:u w:val="none"/>
          <w:lang w:val="en-US" w:eastAsia="zh-CN" w:bidi="ar-SA"/>
        </w:rPr>
        <w:t xml:space="preserve">         开放时间：</w:t>
      </w:r>
      <w:r>
        <w:rPr>
          <w:rFonts w:hint="eastAsia" w:ascii="宋体" w:hAnsi="宋体" w:eastAsia="宋体" w:cs="宋体"/>
          <w:b w:val="0"/>
          <w:bCs w:val="0"/>
          <w:color w:val="000000"/>
          <w:kern w:val="0"/>
          <w:sz w:val="21"/>
          <w:szCs w:val="21"/>
          <w:u w:val="single"/>
          <w:lang w:val="en-US" w:eastAsia="zh-CN" w:bidi="ar-SA"/>
        </w:rPr>
        <w:t>2025年06月10日</w:t>
      </w:r>
      <w:r>
        <w:rPr>
          <w:rFonts w:hint="eastAsia" w:ascii="宋体" w:hAnsi="宋体" w:eastAsia="宋体" w:cs="宋体"/>
          <w:b w:val="0"/>
          <w:bCs w:val="0"/>
          <w:color w:val="000000"/>
          <w:kern w:val="0"/>
          <w:sz w:val="21"/>
          <w:szCs w:val="21"/>
          <w:u w:val="none"/>
          <w:lang w:val="en-US" w:eastAsia="zh-CN" w:bidi="ar-SA"/>
        </w:rPr>
        <w:t xml:space="preserve">               姓名：</w:t>
      </w:r>
      <w:r>
        <w:rPr>
          <w:rFonts w:hint="eastAsia" w:ascii="宋体" w:hAnsi="宋体" w:eastAsia="宋体" w:cs="宋体"/>
          <w:b w:val="0"/>
          <w:bCs w:val="0"/>
          <w:color w:val="000000"/>
          <w:kern w:val="0"/>
          <w:sz w:val="21"/>
          <w:szCs w:val="21"/>
          <w:u w:val="single"/>
          <w:lang w:val="en-US" w:eastAsia="zh-CN" w:bidi="ar-SA"/>
        </w:rPr>
        <w:t>吴海燕、董陈龙、陆荷霞</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5"/>
        <w:gridCol w:w="3646"/>
        <w:gridCol w:w="2261"/>
        <w:gridCol w:w="2610"/>
        <w:gridCol w:w="1733"/>
        <w:gridCol w:w="2263"/>
        <w:gridCol w:w="2056"/>
      </w:tblGrid>
      <w:tr w14:paraId="05997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dxa"/>
          </w:tcPr>
          <w:p w14:paraId="54EE78CE">
            <w:pPr>
              <w:widowControl/>
              <w:spacing w:line="360" w:lineRule="auto"/>
              <w:jc w:val="both"/>
              <w:textAlignment w:val="center"/>
              <w:rPr>
                <w:rFonts w:hint="default" w:ascii="宋体" w:hAnsi="宋体" w:eastAsia="宋体" w:cs="宋体"/>
                <w:b w:val="0"/>
                <w:bCs w:val="0"/>
                <w:color w:val="000000"/>
                <w:kern w:val="0"/>
                <w:sz w:val="21"/>
                <w:szCs w:val="21"/>
                <w:u w:val="single"/>
                <w:vertAlign w:val="baseline"/>
                <w:lang w:val="en-US" w:eastAsia="zh-CN" w:bidi="ar-SA"/>
              </w:rPr>
            </w:pPr>
            <w:r>
              <w:rPr>
                <w:rFonts w:hint="eastAsia" w:ascii="宋体" w:hAnsi="宋体" w:eastAsia="宋体" w:cs="宋体"/>
                <w:b/>
                <w:bCs/>
                <w:color w:val="000000"/>
                <w:kern w:val="0"/>
                <w:sz w:val="21"/>
                <w:szCs w:val="21"/>
                <w:u w:val="none"/>
                <w:vertAlign w:val="baseline"/>
                <w:lang w:val="en-US" w:eastAsia="zh-CN" w:bidi="ar-SA"/>
              </w:rPr>
              <w:t>主题名称</w:t>
            </w:r>
          </w:p>
        </w:tc>
        <w:tc>
          <w:tcPr>
            <w:tcW w:w="9540" w:type="dxa"/>
            <w:gridSpan w:val="3"/>
          </w:tcPr>
          <w:p w14:paraId="304B154B">
            <w:pPr>
              <w:widowControl/>
              <w:spacing w:line="360" w:lineRule="auto"/>
              <w:jc w:val="center"/>
              <w:textAlignment w:val="center"/>
              <w:rPr>
                <w:rFonts w:hint="default" w:ascii="宋体" w:hAnsi="宋体" w:eastAsia="宋体" w:cs="宋体"/>
                <w:b w:val="0"/>
                <w:bCs w:val="0"/>
                <w:color w:val="000000"/>
                <w:kern w:val="0"/>
                <w:sz w:val="21"/>
                <w:szCs w:val="21"/>
                <w:u w:val="single"/>
                <w:vertAlign w:val="baseline"/>
                <w:lang w:val="en-US" w:eastAsia="zh-CN" w:bidi="ar-SA"/>
              </w:rPr>
            </w:pPr>
            <w:r>
              <w:rPr>
                <w:rFonts w:hint="eastAsia" w:ascii="宋体" w:hAnsi="宋体" w:eastAsia="宋体" w:cs="宋体"/>
                <w:b w:val="0"/>
                <w:bCs w:val="0"/>
                <w:color w:val="000000"/>
                <w:kern w:val="0"/>
                <w:sz w:val="21"/>
                <w:szCs w:val="21"/>
                <w:u w:val="single"/>
                <w:vertAlign w:val="baseline"/>
                <w:lang w:val="en-US" w:eastAsia="zh-CN" w:bidi="ar-SA"/>
              </w:rPr>
              <w:t>你好，夏天</w:t>
            </w:r>
          </w:p>
        </w:tc>
        <w:tc>
          <w:tcPr>
            <w:tcW w:w="935" w:type="dxa"/>
          </w:tcPr>
          <w:p w14:paraId="79664EEB">
            <w:pPr>
              <w:widowControl/>
              <w:spacing w:line="360" w:lineRule="auto"/>
              <w:jc w:val="center"/>
              <w:textAlignment w:val="center"/>
              <w:rPr>
                <w:rFonts w:hint="default" w:ascii="宋体" w:hAnsi="宋体" w:eastAsia="宋体" w:cs="宋体"/>
                <w:b w:val="0"/>
                <w:bCs w:val="0"/>
                <w:color w:val="000000"/>
                <w:kern w:val="0"/>
                <w:sz w:val="21"/>
                <w:szCs w:val="21"/>
                <w:u w:val="single"/>
                <w:vertAlign w:val="baseline"/>
                <w:lang w:val="en-US" w:eastAsia="zh-CN" w:bidi="ar-SA"/>
              </w:rPr>
            </w:pPr>
            <w:r>
              <w:rPr>
                <w:rFonts w:hint="eastAsia" w:ascii="宋体" w:hAnsi="宋体" w:eastAsia="宋体" w:cs="宋体"/>
                <w:b/>
                <w:bCs/>
                <w:color w:val="000000"/>
                <w:kern w:val="0"/>
                <w:sz w:val="21"/>
                <w:szCs w:val="21"/>
                <w:u w:val="none"/>
                <w:vertAlign w:val="baseline"/>
                <w:lang w:val="en-US" w:eastAsia="zh-CN" w:bidi="ar-SA"/>
              </w:rPr>
              <w:t>开展时间</w:t>
            </w:r>
          </w:p>
        </w:tc>
        <w:tc>
          <w:tcPr>
            <w:tcW w:w="4029" w:type="dxa"/>
            <w:gridSpan w:val="2"/>
          </w:tcPr>
          <w:p w14:paraId="1E3245D0">
            <w:pPr>
              <w:widowControl/>
              <w:spacing w:line="360" w:lineRule="auto"/>
              <w:jc w:val="both"/>
              <w:textAlignment w:val="center"/>
              <w:rPr>
                <w:rFonts w:hint="default" w:ascii="宋体" w:hAnsi="宋体" w:eastAsia="宋体" w:cs="宋体"/>
                <w:b w:val="0"/>
                <w:bCs w:val="0"/>
                <w:color w:val="000000"/>
                <w:kern w:val="0"/>
                <w:sz w:val="21"/>
                <w:szCs w:val="21"/>
                <w:u w:val="single"/>
                <w:vertAlign w:val="baseline"/>
                <w:lang w:val="en-US" w:eastAsia="zh-CN" w:bidi="ar-SA"/>
              </w:rPr>
            </w:pPr>
            <w:r>
              <w:rPr>
                <w:rFonts w:hint="eastAsia" w:ascii="宋体" w:hAnsi="宋体" w:cs="宋体"/>
                <w:b w:val="0"/>
                <w:bCs w:val="0"/>
                <w:color w:val="000000"/>
                <w:kern w:val="0"/>
                <w:sz w:val="21"/>
                <w:szCs w:val="21"/>
                <w:u w:val="single"/>
                <w:vertAlign w:val="baseline"/>
                <w:lang w:val="en-US" w:eastAsia="zh-CN" w:bidi="ar-SA"/>
              </w:rPr>
              <w:t>6月8日—6月27日</w:t>
            </w:r>
          </w:p>
        </w:tc>
      </w:tr>
      <w:tr w14:paraId="5D6C3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dxa"/>
          </w:tcPr>
          <w:p w14:paraId="330E1AC6">
            <w:pPr>
              <w:widowControl/>
              <w:spacing w:line="360" w:lineRule="auto"/>
              <w:jc w:val="both"/>
              <w:textAlignment w:val="center"/>
              <w:rPr>
                <w:rFonts w:hint="default" w:ascii="宋体" w:hAnsi="宋体" w:eastAsia="宋体" w:cs="宋体"/>
                <w:b w:val="0"/>
                <w:bCs w:val="0"/>
                <w:color w:val="000000"/>
                <w:kern w:val="0"/>
                <w:sz w:val="21"/>
                <w:szCs w:val="21"/>
                <w:u w:val="single"/>
                <w:vertAlign w:val="baseline"/>
                <w:lang w:val="en-US" w:eastAsia="zh-CN" w:bidi="ar-SA"/>
              </w:rPr>
            </w:pPr>
            <w:r>
              <w:rPr>
                <w:rFonts w:hint="eastAsia" w:ascii="宋体" w:hAnsi="宋体" w:eastAsia="宋体" w:cs="宋体"/>
                <w:b/>
                <w:bCs/>
                <w:color w:val="000000"/>
                <w:kern w:val="0"/>
                <w:sz w:val="21"/>
                <w:szCs w:val="21"/>
                <w:u w:val="none"/>
                <w:vertAlign w:val="baseline"/>
                <w:lang w:val="en-US" w:eastAsia="zh-CN" w:bidi="ar-SA"/>
              </w:rPr>
              <w:t>主题目标</w:t>
            </w:r>
          </w:p>
        </w:tc>
        <w:tc>
          <w:tcPr>
            <w:tcW w:w="14504" w:type="dxa"/>
            <w:gridSpan w:val="6"/>
            <w:shd w:val="clear"/>
            <w:vAlign w:val="top"/>
          </w:tcPr>
          <w:p w14:paraId="12FCF121">
            <w:pPr>
              <w:keepNext w:val="0"/>
              <w:keepLines w:val="0"/>
              <w:pageBreakBefore w:val="0"/>
              <w:widowControl/>
              <w:numPr>
                <w:ilvl w:val="0"/>
                <w:numId w:val="0"/>
              </w:numPr>
              <w:kinsoku/>
              <w:wordWrap/>
              <w:overflowPunct/>
              <w:topLinePunct w:val="0"/>
              <w:autoSpaceDE/>
              <w:autoSpaceDN/>
              <w:bidi w:val="0"/>
              <w:adjustRightInd/>
              <w:snapToGrid/>
              <w:spacing w:line="400" w:lineRule="exact"/>
              <w:jc w:val="left"/>
              <w:textAlignment w:val="auto"/>
              <w:rPr>
                <w:rFonts w:hint="eastAsia" w:eastAsia="宋体"/>
                <w:lang w:val="en-US" w:eastAsia="zh-CN"/>
              </w:rPr>
            </w:pPr>
            <w:r>
              <w:rPr>
                <w:rFonts w:hint="eastAsia" w:eastAsia="宋体"/>
                <w:lang w:val="en-US" w:eastAsia="zh-CN"/>
              </w:rPr>
              <w:t>1.</w:t>
            </w:r>
            <w:r>
              <w:rPr>
                <w:rFonts w:hint="eastAsia"/>
                <w:lang w:val="en-US" w:eastAsia="zh-CN"/>
              </w:rPr>
              <w:t>感知并说出夏天最明显的天气特征，认识几种具有代表性的夏季水果，初步了解夏天人们衣着、活动和饮食的变化</w:t>
            </w:r>
            <w:r>
              <w:rPr>
                <w:rFonts w:hint="eastAsia" w:eastAsia="宋体"/>
                <w:lang w:val="en-US" w:eastAsia="zh-CN"/>
              </w:rPr>
              <w:t>；</w:t>
            </w:r>
          </w:p>
          <w:p w14:paraId="6DD8298A">
            <w:pPr>
              <w:keepNext w:val="0"/>
              <w:keepLines w:val="0"/>
              <w:pageBreakBefore w:val="0"/>
              <w:widowControl/>
              <w:numPr>
                <w:ilvl w:val="0"/>
                <w:numId w:val="0"/>
              </w:numPr>
              <w:kinsoku/>
              <w:wordWrap/>
              <w:overflowPunct/>
              <w:topLinePunct w:val="0"/>
              <w:autoSpaceDE/>
              <w:autoSpaceDN/>
              <w:bidi w:val="0"/>
              <w:adjustRightInd/>
              <w:snapToGrid/>
              <w:spacing w:line="400" w:lineRule="exact"/>
              <w:jc w:val="left"/>
              <w:textAlignment w:val="auto"/>
              <w:rPr>
                <w:rFonts w:hint="default" w:ascii="Calibri" w:hAnsi="Calibri" w:eastAsia="宋体" w:cs="宋体"/>
                <w:kern w:val="2"/>
                <w:sz w:val="21"/>
                <w:szCs w:val="22"/>
                <w:lang w:val="en-US" w:eastAsia="zh-CN" w:bidi="ar-SA"/>
              </w:rPr>
            </w:pPr>
            <w:r>
              <w:rPr>
                <w:rFonts w:hint="eastAsia" w:eastAsia="宋体"/>
                <w:lang w:val="en-US" w:eastAsia="zh-CN"/>
              </w:rPr>
              <w:t>2.</w:t>
            </w:r>
            <w:r>
              <w:rPr>
                <w:rFonts w:hint="eastAsia"/>
                <w:lang w:val="en-US" w:eastAsia="zh-CN"/>
              </w:rPr>
              <w:t>欣赏与夏天相关的艺术作品（如荷花图、表现夏日风光的摄影）。尝试用绘画、手工（如折扇子、做西瓜手工）等方式表现夏天的元素（太阳、西瓜、冰淇淋、泳池等）。。</w:t>
            </w:r>
          </w:p>
        </w:tc>
      </w:tr>
      <w:tr w14:paraId="78DE2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dxa"/>
          </w:tcPr>
          <w:p w14:paraId="3147CB75">
            <w:pPr>
              <w:widowControl/>
              <w:spacing w:line="360" w:lineRule="auto"/>
              <w:jc w:val="both"/>
              <w:textAlignment w:val="center"/>
              <w:rPr>
                <w:rFonts w:hint="default" w:ascii="宋体" w:hAnsi="宋体" w:eastAsia="宋体" w:cs="宋体"/>
                <w:b/>
                <w:bCs/>
                <w:color w:val="000000"/>
                <w:kern w:val="0"/>
                <w:sz w:val="21"/>
                <w:szCs w:val="21"/>
                <w:u w:val="none"/>
                <w:vertAlign w:val="baseline"/>
                <w:lang w:val="en-US" w:eastAsia="zh-CN" w:bidi="ar-SA"/>
              </w:rPr>
            </w:pPr>
            <w:r>
              <w:rPr>
                <w:rFonts w:hint="eastAsia" w:ascii="宋体" w:hAnsi="宋体" w:eastAsia="宋体" w:cs="宋体"/>
                <w:b/>
                <w:bCs/>
                <w:color w:val="000000"/>
                <w:kern w:val="0"/>
                <w:sz w:val="21"/>
                <w:szCs w:val="21"/>
                <w:u w:val="none"/>
                <w:vertAlign w:val="baseline"/>
                <w:lang w:val="en-US" w:eastAsia="zh-CN" w:bidi="ar-SA"/>
              </w:rPr>
              <w:t>区域名称</w:t>
            </w:r>
          </w:p>
        </w:tc>
        <w:tc>
          <w:tcPr>
            <w:tcW w:w="4094" w:type="dxa"/>
          </w:tcPr>
          <w:p w14:paraId="685AB95E">
            <w:pPr>
              <w:widowControl/>
              <w:spacing w:line="360" w:lineRule="auto"/>
              <w:jc w:val="center"/>
              <w:textAlignment w:val="center"/>
              <w:rPr>
                <w:rFonts w:hint="default" w:ascii="宋体" w:hAnsi="宋体" w:eastAsia="宋体" w:cs="宋体"/>
                <w:b/>
                <w:bCs/>
                <w:color w:val="000000"/>
                <w:kern w:val="0"/>
                <w:sz w:val="21"/>
                <w:szCs w:val="21"/>
                <w:u w:val="none"/>
                <w:vertAlign w:val="baseline"/>
                <w:lang w:val="en-US" w:eastAsia="zh-CN" w:bidi="ar-SA"/>
              </w:rPr>
            </w:pPr>
            <w:r>
              <w:rPr>
                <w:rFonts w:hint="eastAsia" w:ascii="宋体" w:hAnsi="宋体" w:eastAsia="宋体" w:cs="宋体"/>
                <w:b/>
                <w:bCs/>
                <w:color w:val="000000"/>
                <w:kern w:val="0"/>
                <w:sz w:val="21"/>
                <w:szCs w:val="21"/>
                <w:u w:val="none"/>
                <w:vertAlign w:val="baseline"/>
                <w:lang w:val="en-US" w:eastAsia="zh-CN" w:bidi="ar-SA"/>
              </w:rPr>
              <w:t>游戏名称及材料</w:t>
            </w:r>
          </w:p>
        </w:tc>
        <w:tc>
          <w:tcPr>
            <w:tcW w:w="2521" w:type="dxa"/>
          </w:tcPr>
          <w:p w14:paraId="628DECDF">
            <w:pPr>
              <w:widowControl/>
              <w:spacing w:line="360" w:lineRule="auto"/>
              <w:jc w:val="center"/>
              <w:textAlignment w:val="center"/>
              <w:rPr>
                <w:rFonts w:hint="default" w:ascii="宋体" w:hAnsi="宋体" w:eastAsia="宋体" w:cs="宋体"/>
                <w:b/>
                <w:bCs/>
                <w:color w:val="000000"/>
                <w:kern w:val="0"/>
                <w:sz w:val="21"/>
                <w:szCs w:val="21"/>
                <w:u w:val="none"/>
                <w:vertAlign w:val="baseline"/>
                <w:lang w:val="en-US" w:eastAsia="zh-CN" w:bidi="ar-SA"/>
              </w:rPr>
            </w:pPr>
            <w:r>
              <w:rPr>
                <w:rFonts w:hint="eastAsia" w:ascii="宋体" w:hAnsi="宋体" w:eastAsia="宋体" w:cs="宋体"/>
                <w:b/>
                <w:bCs/>
                <w:color w:val="000000"/>
                <w:kern w:val="0"/>
                <w:sz w:val="21"/>
                <w:szCs w:val="21"/>
                <w:u w:val="none"/>
                <w:vertAlign w:val="baseline"/>
                <w:lang w:val="en-US" w:eastAsia="zh-CN" w:bidi="ar-SA"/>
              </w:rPr>
              <w:t>关键经验</w:t>
            </w:r>
          </w:p>
        </w:tc>
        <w:tc>
          <w:tcPr>
            <w:tcW w:w="2925" w:type="dxa"/>
          </w:tcPr>
          <w:p w14:paraId="2B182A29">
            <w:pPr>
              <w:widowControl/>
              <w:spacing w:line="360" w:lineRule="auto"/>
              <w:jc w:val="center"/>
              <w:textAlignment w:val="center"/>
              <w:rPr>
                <w:rFonts w:hint="default" w:ascii="宋体" w:hAnsi="宋体" w:eastAsia="宋体" w:cs="宋体"/>
                <w:b/>
                <w:bCs/>
                <w:color w:val="000000"/>
                <w:kern w:val="0"/>
                <w:sz w:val="21"/>
                <w:szCs w:val="21"/>
                <w:u w:val="none"/>
                <w:vertAlign w:val="baseline"/>
                <w:lang w:val="en-US" w:eastAsia="zh-CN" w:bidi="ar-SA"/>
              </w:rPr>
            </w:pPr>
            <w:r>
              <w:rPr>
                <w:rFonts w:hint="eastAsia" w:ascii="宋体" w:hAnsi="宋体" w:eastAsia="宋体" w:cs="宋体"/>
                <w:b/>
                <w:bCs/>
                <w:color w:val="000000"/>
                <w:kern w:val="0"/>
                <w:sz w:val="21"/>
                <w:szCs w:val="21"/>
                <w:u w:val="none"/>
                <w:vertAlign w:val="baseline"/>
                <w:lang w:val="en-US" w:eastAsia="zh-CN" w:bidi="ar-SA"/>
              </w:rPr>
              <w:t>可能玩法</w:t>
            </w:r>
          </w:p>
        </w:tc>
        <w:tc>
          <w:tcPr>
            <w:tcW w:w="2715" w:type="dxa"/>
            <w:gridSpan w:val="2"/>
          </w:tcPr>
          <w:p w14:paraId="555A9BCD">
            <w:pPr>
              <w:widowControl/>
              <w:spacing w:line="360" w:lineRule="auto"/>
              <w:jc w:val="center"/>
              <w:textAlignment w:val="center"/>
              <w:rPr>
                <w:rFonts w:hint="default" w:ascii="宋体" w:hAnsi="宋体" w:eastAsia="宋体" w:cs="宋体"/>
                <w:b/>
                <w:bCs/>
                <w:color w:val="000000"/>
                <w:kern w:val="0"/>
                <w:sz w:val="21"/>
                <w:szCs w:val="21"/>
                <w:u w:val="none"/>
                <w:vertAlign w:val="baseline"/>
                <w:lang w:val="en-US" w:eastAsia="zh-CN" w:bidi="ar-SA"/>
              </w:rPr>
            </w:pPr>
            <w:r>
              <w:rPr>
                <w:rFonts w:hint="eastAsia" w:ascii="宋体" w:hAnsi="宋体" w:eastAsia="宋体" w:cs="宋体"/>
                <w:b/>
                <w:bCs/>
                <w:color w:val="000000"/>
                <w:kern w:val="0"/>
                <w:sz w:val="21"/>
                <w:szCs w:val="21"/>
                <w:u w:val="none"/>
                <w:vertAlign w:val="baseline"/>
                <w:lang w:val="en-US" w:eastAsia="zh-CN" w:bidi="ar-SA"/>
              </w:rPr>
              <w:t>现场照片</w:t>
            </w:r>
          </w:p>
        </w:tc>
        <w:tc>
          <w:tcPr>
            <w:tcW w:w="2249" w:type="dxa"/>
          </w:tcPr>
          <w:p w14:paraId="1D0D1BD3">
            <w:pPr>
              <w:widowControl/>
              <w:spacing w:line="360" w:lineRule="auto"/>
              <w:jc w:val="center"/>
              <w:textAlignment w:val="center"/>
              <w:rPr>
                <w:rFonts w:hint="default" w:ascii="宋体" w:hAnsi="宋体" w:eastAsia="宋体" w:cs="宋体"/>
                <w:b/>
                <w:bCs/>
                <w:color w:val="000000"/>
                <w:kern w:val="0"/>
                <w:sz w:val="21"/>
                <w:szCs w:val="21"/>
                <w:u w:val="none"/>
                <w:vertAlign w:val="baseline"/>
                <w:lang w:val="en-US" w:eastAsia="zh-CN" w:bidi="ar-SA"/>
              </w:rPr>
            </w:pPr>
            <w:r>
              <w:rPr>
                <w:rFonts w:hint="eastAsia" w:ascii="宋体" w:hAnsi="宋体" w:eastAsia="宋体" w:cs="宋体"/>
                <w:b/>
                <w:bCs/>
                <w:color w:val="000000"/>
                <w:kern w:val="0"/>
                <w:sz w:val="21"/>
                <w:szCs w:val="21"/>
                <w:u w:val="none"/>
                <w:vertAlign w:val="baseline"/>
                <w:lang w:val="en-US" w:eastAsia="zh-CN" w:bidi="ar-SA"/>
              </w:rPr>
              <w:t>教师关注点</w:t>
            </w:r>
          </w:p>
        </w:tc>
      </w:tr>
      <w:tr w14:paraId="0C0BDA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dxa"/>
          </w:tcPr>
          <w:p w14:paraId="4E0FA573">
            <w:pPr>
              <w:widowControl/>
              <w:spacing w:line="360" w:lineRule="auto"/>
              <w:jc w:val="both"/>
              <w:textAlignment w:val="center"/>
              <w:rPr>
                <w:rFonts w:hint="default" w:ascii="宋体" w:hAnsi="宋体" w:eastAsia="宋体" w:cs="宋体"/>
                <w:b/>
                <w:bCs/>
                <w:color w:val="000000"/>
                <w:kern w:val="0"/>
                <w:sz w:val="21"/>
                <w:szCs w:val="21"/>
                <w:u w:val="none"/>
                <w:vertAlign w:val="baseline"/>
                <w:lang w:val="en-US" w:eastAsia="zh-CN" w:bidi="ar-SA"/>
              </w:rPr>
            </w:pPr>
            <w:r>
              <w:rPr>
                <w:rFonts w:hint="eastAsia" w:ascii="宋体" w:hAnsi="宋体" w:eastAsia="宋体" w:cs="宋体"/>
                <w:b/>
                <w:bCs/>
                <w:color w:val="000000"/>
                <w:kern w:val="0"/>
                <w:sz w:val="21"/>
                <w:szCs w:val="21"/>
                <w:u w:val="none"/>
                <w:vertAlign w:val="baseline"/>
                <w:lang w:val="en-US" w:eastAsia="zh-CN" w:bidi="ar-SA"/>
              </w:rPr>
              <w:t>美工区</w:t>
            </w:r>
          </w:p>
        </w:tc>
        <w:tc>
          <w:tcPr>
            <w:tcW w:w="4094" w:type="dxa"/>
            <w:vAlign w:val="top"/>
          </w:tcPr>
          <w:p w14:paraId="1B2754A6">
            <w:pPr>
              <w:widowControl/>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p>
          <w:p w14:paraId="7EAA28EF">
            <w:pPr>
              <w:widowControl/>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·多元表征《向日葵》、《夏日畅想》</w:t>
            </w:r>
          </w:p>
          <w:p w14:paraId="4F583B3F">
            <w:pPr>
              <w:widowControl/>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材料：</w:t>
            </w:r>
            <w:r>
              <w:rPr>
                <w:rFonts w:hint="eastAsia" w:ascii="宋体" w:hAnsi="宋体" w:cs="宋体"/>
                <w:b w:val="0"/>
                <w:bCs w:val="0"/>
                <w:color w:val="000000"/>
                <w:kern w:val="0"/>
                <w:sz w:val="21"/>
                <w:szCs w:val="21"/>
                <w:u w:val="none"/>
                <w:vertAlign w:val="baseline"/>
                <w:lang w:val="en-US" w:eastAsia="zh-CN" w:bidi="ar-SA"/>
              </w:rPr>
              <w:t>各类纸张、多种画笔、多色粘土、各类工具（剪刀、胶水等）、毛根、毛球、玉米粒、吸管、彩色线、麻绳、油纸伞、彩色方块砖、纸筒、泡沫膜等。</w:t>
            </w:r>
          </w:p>
        </w:tc>
        <w:tc>
          <w:tcPr>
            <w:tcW w:w="2521" w:type="dxa"/>
          </w:tcPr>
          <w:p w14:paraId="5A39CE7E">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尝试用折纸泥塑剪贴多物体组合等方式创作向日葵与夏天有关的场景。</w:t>
            </w:r>
          </w:p>
          <w:p w14:paraId="A73FE1ED">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感受颜色的变化，用喜欢的颜色进行色彩搭配。</w:t>
            </w:r>
          </w:p>
        </w:tc>
        <w:tc>
          <w:tcPr>
            <w:tcW w:w="2925" w:type="dxa"/>
            <w:shd w:val="clear"/>
            <w:vAlign w:val="top"/>
          </w:tcPr>
          <w:p w14:paraId="69B4241A">
            <w:pPr>
              <w:widowControl/>
              <w:numPr>
                <w:ilvl w:val="0"/>
                <w:numId w:val="0"/>
              </w:numPr>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粘土向日葵：通过揉、搓、压等方式用粘土制作向日葵。</w:t>
            </w:r>
          </w:p>
          <w:p w14:paraId="018D8A44">
            <w:pPr>
              <w:widowControl/>
              <w:numPr>
                <w:ilvl w:val="0"/>
                <w:numId w:val="0"/>
              </w:numPr>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撕纸向日葵：用撕纸的方式撕出宽度均匀的小纸条，将小纸条逐一粘贴在圆形牛皮纸上，做出向日葵的造型。</w:t>
            </w:r>
          </w:p>
          <w:p w14:paraId="64BE9414">
            <w:pPr>
              <w:widowControl/>
              <w:numPr>
                <w:ilvl w:val="0"/>
                <w:numId w:val="0"/>
              </w:numPr>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折纸向日葵：用黄色彩纸折出小扇子的形状，然后将小扇子进行拼贴，做出向日葵的造型。</w:t>
            </w:r>
          </w:p>
          <w:p w14:paraId="74570EA0">
            <w:pPr>
              <w:widowControl/>
              <w:numPr>
                <w:ilvl w:val="0"/>
                <w:numId w:val="0"/>
              </w:numPr>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写生向日葵：观察向日葵的形态，并用多种材料与颜料创作。</w:t>
            </w:r>
          </w:p>
          <w:p w14:paraId="5FDD7486">
            <w:pPr>
              <w:widowControl/>
              <w:numPr>
                <w:ilvl w:val="0"/>
                <w:numId w:val="0"/>
              </w:numPr>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拓印荷叶：用塑料袋进行荷叶的拓印，丰富画面内容。</w:t>
            </w:r>
          </w:p>
          <w:p w14:paraId="54A01ECD">
            <w:pPr>
              <w:widowControl/>
              <w:numPr>
                <w:ilvl w:val="0"/>
                <w:numId w:val="0"/>
              </w:numPr>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粘土夏日海洋：用粘土进行创作，夏天的海洋场景。</w:t>
            </w:r>
          </w:p>
          <w:p w14:paraId="3D3B6B42">
            <w:pPr>
              <w:widowControl/>
              <w:numPr>
                <w:ilvl w:val="0"/>
                <w:numId w:val="0"/>
              </w:numPr>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粘土夏天的美味：用粘土进行创作，夏天的美味食物，如水果、饮料、冰激凌等。</w:t>
            </w:r>
          </w:p>
          <w:p w14:paraId="35AC9FC9">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线条画莲蓬：用线条画出莲蓬的形态以及内部细节。</w:t>
            </w:r>
          </w:p>
          <w:p w14:paraId="511DBEB3">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p>
          <w:p w14:paraId="5A14AF72">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p>
        </w:tc>
        <w:tc>
          <w:tcPr>
            <w:tcW w:w="2715" w:type="dxa"/>
            <w:gridSpan w:val="2"/>
          </w:tcPr>
          <w:p w14:paraId="395D2007">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drawing>
                <wp:inline distT="0" distB="0" distL="114300" distR="114300">
                  <wp:extent cx="2381250" cy="1785620"/>
                  <wp:effectExtent l="0" t="0" r="6350" b="5080"/>
                  <wp:docPr id="7" name="图片 7" descr="15b03e2829fa509518a6bae0d14d4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5b03e2829fa509518a6bae0d14d4494"/>
                          <pic:cNvPicPr>
                            <a:picLocks noChangeAspect="1"/>
                          </pic:cNvPicPr>
                        </pic:nvPicPr>
                        <pic:blipFill>
                          <a:blip r:embed="rId4"/>
                          <a:stretch>
                            <a:fillRect/>
                          </a:stretch>
                        </pic:blipFill>
                        <pic:spPr>
                          <a:xfrm>
                            <a:off x="0" y="0"/>
                            <a:ext cx="2381250" cy="1785620"/>
                          </a:xfrm>
                          <a:prstGeom prst="rect">
                            <a:avLst/>
                          </a:prstGeom>
                        </pic:spPr>
                      </pic:pic>
                    </a:graphicData>
                  </a:graphic>
                </wp:inline>
              </w:drawing>
            </w:r>
            <w:r>
              <w:rPr>
                <w:rFonts w:hint="default" w:ascii="宋体" w:hAnsi="宋体" w:eastAsia="宋体" w:cs="宋体"/>
                <w:b w:val="0"/>
                <w:bCs w:val="0"/>
                <w:color w:val="000000"/>
                <w:kern w:val="0"/>
                <w:sz w:val="21"/>
                <w:szCs w:val="21"/>
                <w:u w:val="none"/>
                <w:vertAlign w:val="baseline"/>
                <w:lang w:val="en-US" w:eastAsia="zh-CN" w:bidi="ar-SA"/>
              </w:rPr>
              <w:drawing>
                <wp:inline distT="0" distB="0" distL="114300" distR="114300">
                  <wp:extent cx="2381250" cy="1785620"/>
                  <wp:effectExtent l="0" t="0" r="6350" b="5080"/>
                  <wp:docPr id="6" name="图片 6" descr="ecbd2a090d3476843dd03b00b005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ecbd2a090d3476843dd03b00b0051598"/>
                          <pic:cNvPicPr>
                            <a:picLocks noChangeAspect="1"/>
                          </pic:cNvPicPr>
                        </pic:nvPicPr>
                        <pic:blipFill>
                          <a:blip r:embed="rId5"/>
                          <a:stretch>
                            <a:fillRect/>
                          </a:stretch>
                        </pic:blipFill>
                        <pic:spPr>
                          <a:xfrm>
                            <a:off x="0" y="0"/>
                            <a:ext cx="2381250" cy="1785620"/>
                          </a:xfrm>
                          <a:prstGeom prst="rect">
                            <a:avLst/>
                          </a:prstGeom>
                        </pic:spPr>
                      </pic:pic>
                    </a:graphicData>
                  </a:graphic>
                </wp:inline>
              </w:drawing>
            </w:r>
          </w:p>
        </w:tc>
        <w:tc>
          <w:tcPr>
            <w:tcW w:w="2249" w:type="dxa"/>
            <w:shd w:val="clear"/>
            <w:vAlign w:val="top"/>
          </w:tcPr>
          <w:p w14:paraId="3613B992">
            <w:pPr>
              <w:widowControl/>
              <w:numPr>
                <w:ilvl w:val="0"/>
                <w:numId w:val="0"/>
              </w:numPr>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关注制作手法与造型塑造。</w:t>
            </w:r>
          </w:p>
          <w:p w14:paraId="212F1447">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关注撕纸是否粗细均匀，与粘贴方式。</w:t>
            </w:r>
          </w:p>
          <w:p w14:paraId="2E6CB98F">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关注扇子折法与拼贴协调性。</w:t>
            </w:r>
          </w:p>
          <w:p w14:paraId="4EE9DABC">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聚焦形态观察与材料表现力。</w:t>
            </w:r>
          </w:p>
          <w:p w14:paraId="26C2959D">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注意拓印的纹理效果以及画面的布局。</w:t>
            </w:r>
          </w:p>
          <w:p w14:paraId="3D4B07F0">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关注海洋场景元素创作完整度。</w:t>
            </w:r>
          </w:p>
          <w:p w14:paraId="736EE7DD">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重视食物形态与色彩还原度。</w:t>
            </w:r>
          </w:p>
          <w:p w14:paraId="0C713911">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聚焦线条勾勒的形态与细节。</w:t>
            </w:r>
          </w:p>
        </w:tc>
      </w:tr>
      <w:tr w14:paraId="50DE4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dxa"/>
            <w:vMerge w:val="restart"/>
          </w:tcPr>
          <w:p w14:paraId="5B29938D">
            <w:pPr>
              <w:widowControl/>
              <w:spacing w:line="360" w:lineRule="auto"/>
              <w:jc w:val="both"/>
              <w:textAlignment w:val="center"/>
              <w:rPr>
                <w:rFonts w:hint="eastAsia" w:ascii="宋体" w:hAnsi="宋体" w:eastAsia="宋体" w:cs="宋体"/>
                <w:b/>
                <w:bCs/>
                <w:color w:val="000000"/>
                <w:kern w:val="0"/>
                <w:sz w:val="21"/>
                <w:szCs w:val="21"/>
                <w:u w:val="none"/>
                <w:vertAlign w:val="baseline"/>
                <w:lang w:val="en-US" w:eastAsia="zh-CN" w:bidi="ar-SA"/>
              </w:rPr>
            </w:pPr>
            <w:r>
              <w:rPr>
                <w:rFonts w:hint="eastAsia" w:ascii="宋体" w:hAnsi="宋体" w:eastAsia="宋体" w:cs="宋体"/>
                <w:b/>
                <w:bCs/>
                <w:color w:val="000000"/>
                <w:kern w:val="0"/>
                <w:sz w:val="21"/>
                <w:szCs w:val="21"/>
                <w:u w:val="none"/>
                <w:vertAlign w:val="baseline"/>
                <w:lang w:val="en-US" w:eastAsia="zh-CN" w:bidi="ar-SA"/>
              </w:rPr>
              <w:t>科学区</w:t>
            </w:r>
          </w:p>
          <w:p w14:paraId="324E44AE">
            <w:pPr>
              <w:widowControl/>
              <w:spacing w:line="360" w:lineRule="auto"/>
              <w:jc w:val="both"/>
              <w:textAlignment w:val="center"/>
              <w:rPr>
                <w:rFonts w:hint="default" w:ascii="宋体" w:hAnsi="宋体" w:eastAsia="宋体" w:cs="宋体"/>
                <w:b/>
                <w:bCs/>
                <w:color w:val="000000"/>
                <w:kern w:val="0"/>
                <w:sz w:val="21"/>
                <w:szCs w:val="21"/>
                <w:u w:val="none"/>
                <w:vertAlign w:val="baseline"/>
                <w:lang w:val="en-US" w:eastAsia="zh-CN" w:bidi="ar-SA"/>
              </w:rPr>
            </w:pPr>
            <w:r>
              <w:rPr>
                <w:rFonts w:hint="eastAsia" w:ascii="宋体" w:hAnsi="宋体" w:eastAsia="宋体" w:cs="宋体"/>
                <w:b/>
                <w:bCs/>
                <w:color w:val="000000"/>
                <w:kern w:val="0"/>
                <w:sz w:val="21"/>
                <w:szCs w:val="21"/>
                <w:u w:val="none"/>
                <w:vertAlign w:val="baseline"/>
                <w:lang w:val="en-US" w:eastAsia="zh-CN" w:bidi="ar-SA"/>
              </w:rPr>
              <w:t>（含自然角）</w:t>
            </w:r>
          </w:p>
        </w:tc>
        <w:tc>
          <w:tcPr>
            <w:tcW w:w="4094" w:type="dxa"/>
          </w:tcPr>
          <w:p w14:paraId="782E7EFE">
            <w:pPr>
              <w:widowControl/>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p>
          <w:p w14:paraId="34002938">
            <w:pPr>
              <w:widowControl/>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·造纸、过滤水</w:t>
            </w:r>
          </w:p>
          <w:p w14:paraId="4E0262A5">
            <w:pPr>
              <w:widowControl/>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造纸材料：各类纸张，造纸机，各类水瓶、杯子，过滤材料：活性炭，绵柔纸，沙子，泥土，鹅软石，火山岩</w:t>
            </w:r>
            <w:r>
              <w:rPr>
                <w:rFonts w:hint="eastAsia" w:ascii="宋体" w:hAnsi="宋体" w:cs="宋体"/>
                <w:b w:val="0"/>
                <w:bCs w:val="0"/>
                <w:color w:val="000000"/>
                <w:kern w:val="0"/>
                <w:sz w:val="21"/>
                <w:szCs w:val="21"/>
                <w:u w:val="none"/>
                <w:vertAlign w:val="baseline"/>
                <w:lang w:val="en-US" w:eastAsia="zh-CN" w:bidi="ar-SA"/>
              </w:rPr>
              <w:t>，漏斗，各类水瓶、杯子。</w:t>
            </w:r>
          </w:p>
        </w:tc>
        <w:tc>
          <w:tcPr>
            <w:tcW w:w="2521" w:type="dxa"/>
          </w:tcPr>
          <w:p w14:paraId="6BC0B099">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能够观察泥水经过过滤后颜色发生变化。</w:t>
            </w:r>
          </w:p>
          <w:p w14:paraId="C4E66E34">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能够感知纸张再睡中的溶解与晒干后的凝固现象。</w:t>
            </w:r>
          </w:p>
          <w:p w14:paraId="D70AB29B">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能用图画记录发现的现象。</w:t>
            </w:r>
          </w:p>
        </w:tc>
        <w:tc>
          <w:tcPr>
            <w:tcW w:w="2925" w:type="dxa"/>
          </w:tcPr>
          <w:p w14:paraId="41B13D91">
            <w:pPr>
              <w:widowControl/>
              <w:numPr>
                <w:ilvl w:val="0"/>
                <w:numId w:val="0"/>
              </w:numPr>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造纸：通过撕，搅拌，剪等不同方式将废纸张处理成不同大小。与水结合后通过挤压晾晒等方式去除水分。</w:t>
            </w:r>
          </w:p>
          <w:p w14:paraId="0BEE78E0">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过滤：通过尝试不同材料、不同顺序、不同份量的组合，观察泥水的清洁过滤情况并记录。</w:t>
            </w:r>
          </w:p>
        </w:tc>
        <w:tc>
          <w:tcPr>
            <w:tcW w:w="2715" w:type="dxa"/>
            <w:gridSpan w:val="2"/>
          </w:tcPr>
          <w:p w14:paraId="3B87E787">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ascii="宋体" w:hAnsi="宋体" w:eastAsia="宋体" w:cs="宋体"/>
                <w:sz w:val="24"/>
                <w:szCs w:val="24"/>
              </w:rPr>
              <w:drawing>
                <wp:inline distT="0" distB="0" distL="114300" distR="114300">
                  <wp:extent cx="2400300" cy="1800225"/>
                  <wp:effectExtent l="0" t="0" r="0" b="3175"/>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6"/>
                          <a:stretch>
                            <a:fillRect/>
                          </a:stretch>
                        </pic:blipFill>
                        <pic:spPr>
                          <a:xfrm>
                            <a:off x="0" y="0"/>
                            <a:ext cx="2400300" cy="1800225"/>
                          </a:xfrm>
                          <a:prstGeom prst="rect">
                            <a:avLst/>
                          </a:prstGeom>
                          <a:noFill/>
                          <a:ln w="9525">
                            <a:noFill/>
                          </a:ln>
                        </pic:spPr>
                      </pic:pic>
                    </a:graphicData>
                  </a:graphic>
                </wp:inline>
              </w:drawing>
            </w:r>
          </w:p>
        </w:tc>
        <w:tc>
          <w:tcPr>
            <w:tcW w:w="2249" w:type="dxa"/>
          </w:tcPr>
          <w:p w14:paraId="5B468665">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操作观察与记录方式。</w:t>
            </w:r>
          </w:p>
          <w:p w14:paraId="EBA11D73">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科学游戏的持续性与专注度。</w:t>
            </w:r>
          </w:p>
        </w:tc>
      </w:tr>
      <w:tr w14:paraId="30979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dxa"/>
            <w:vMerge w:val="continue"/>
          </w:tcPr>
          <w:p w14:paraId="1CCA84CD">
            <w:pPr>
              <w:widowControl/>
              <w:spacing w:line="360" w:lineRule="auto"/>
              <w:jc w:val="both"/>
              <w:textAlignment w:val="center"/>
              <w:rPr>
                <w:rFonts w:hint="default" w:ascii="宋体" w:hAnsi="宋体" w:eastAsia="宋体" w:cs="宋体"/>
                <w:b/>
                <w:bCs/>
                <w:color w:val="000000"/>
                <w:kern w:val="0"/>
                <w:sz w:val="21"/>
                <w:szCs w:val="21"/>
                <w:u w:val="none"/>
                <w:vertAlign w:val="baseline"/>
                <w:lang w:val="en-US" w:eastAsia="zh-CN" w:bidi="ar-SA"/>
              </w:rPr>
            </w:pPr>
          </w:p>
        </w:tc>
        <w:tc>
          <w:tcPr>
            <w:tcW w:w="4094" w:type="dxa"/>
          </w:tcPr>
          <w:p w14:paraId="318CF2EA">
            <w:pPr>
              <w:widowControl/>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p>
          <w:p w14:paraId="767C1E33">
            <w:pPr>
              <w:widowControl/>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·观察与表征-各种各样的虾、夏日花卉等</w:t>
            </w:r>
          </w:p>
          <w:p w14:paraId="423D1BA1">
            <w:pPr>
              <w:widowControl/>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材料：龙虾，河虾，记录表。循环水管。夏日花朵</w:t>
            </w:r>
            <w:r>
              <w:rPr>
                <w:rFonts w:hint="eastAsia" w:ascii="宋体" w:hAnsi="宋体" w:cs="宋体"/>
                <w:b w:val="0"/>
                <w:bCs w:val="0"/>
                <w:color w:val="000000"/>
                <w:kern w:val="0"/>
                <w:sz w:val="21"/>
                <w:szCs w:val="21"/>
                <w:u w:val="none"/>
                <w:vertAlign w:val="baseline"/>
                <w:lang w:val="en-US" w:eastAsia="zh-CN" w:bidi="ar-SA"/>
              </w:rPr>
              <w:t>，豌豆苗，水培植物</w:t>
            </w:r>
            <w:r>
              <w:rPr>
                <w:rFonts w:hint="eastAsia" w:ascii="宋体" w:hAnsi="宋体" w:eastAsia="宋体" w:cs="宋体"/>
                <w:b w:val="0"/>
                <w:bCs w:val="0"/>
                <w:color w:val="000000"/>
                <w:kern w:val="0"/>
                <w:sz w:val="21"/>
                <w:szCs w:val="21"/>
                <w:u w:val="none"/>
                <w:vertAlign w:val="baseline"/>
                <w:lang w:val="en-US" w:eastAsia="zh-CN" w:bidi="ar-SA"/>
              </w:rPr>
              <w:t>等。</w:t>
            </w:r>
          </w:p>
        </w:tc>
        <w:tc>
          <w:tcPr>
            <w:tcW w:w="2521" w:type="dxa"/>
          </w:tcPr>
          <w:p w14:paraId="7FC69A71">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能用图画记录生物的生长变化。</w:t>
            </w:r>
          </w:p>
          <w:p w14:paraId="0B7734EE">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能够感知水培植物与土培植物的生长条件。</w:t>
            </w:r>
          </w:p>
        </w:tc>
        <w:tc>
          <w:tcPr>
            <w:tcW w:w="2925" w:type="dxa"/>
          </w:tcPr>
          <w:p w14:paraId="1A4BD641">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观察不同虾的外形、动作等，并记录。</w:t>
            </w:r>
          </w:p>
          <w:p w14:paraId="FB20CD7C">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观察不同容器中的豌豆苗与水培植物的生长情况并记录？</w:t>
            </w:r>
          </w:p>
        </w:tc>
        <w:tc>
          <w:tcPr>
            <w:tcW w:w="2715" w:type="dxa"/>
            <w:gridSpan w:val="2"/>
          </w:tcPr>
          <w:p w14:paraId="35440BC4">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bookmarkStart w:id="0" w:name="_GoBack"/>
            <w:r>
              <w:rPr>
                <w:rFonts w:hint="default" w:ascii="宋体" w:hAnsi="宋体" w:eastAsia="宋体" w:cs="宋体"/>
                <w:b w:val="0"/>
                <w:bCs w:val="0"/>
                <w:color w:val="000000"/>
                <w:kern w:val="0"/>
                <w:sz w:val="21"/>
                <w:szCs w:val="21"/>
                <w:u w:val="none"/>
                <w:vertAlign w:val="baseline"/>
                <w:lang w:val="en-US" w:eastAsia="zh-CN" w:bidi="ar-SA"/>
              </w:rPr>
              <w:drawing>
                <wp:inline distT="0" distB="0" distL="114300" distR="114300">
                  <wp:extent cx="2381250" cy="1785620"/>
                  <wp:effectExtent l="0" t="0" r="6350" b="5080"/>
                  <wp:docPr id="11" name="图片 11" descr="2778dd5794952226ea1cf70de4d7ac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778dd5794952226ea1cf70de4d7acd4"/>
                          <pic:cNvPicPr>
                            <a:picLocks noChangeAspect="1"/>
                          </pic:cNvPicPr>
                        </pic:nvPicPr>
                        <pic:blipFill>
                          <a:blip r:embed="rId7"/>
                          <a:stretch>
                            <a:fillRect/>
                          </a:stretch>
                        </pic:blipFill>
                        <pic:spPr>
                          <a:xfrm>
                            <a:off x="0" y="0"/>
                            <a:ext cx="2381250" cy="1785620"/>
                          </a:xfrm>
                          <a:prstGeom prst="rect">
                            <a:avLst/>
                          </a:prstGeom>
                        </pic:spPr>
                      </pic:pic>
                    </a:graphicData>
                  </a:graphic>
                </wp:inline>
              </w:drawing>
            </w:r>
            <w:bookmarkEnd w:id="0"/>
          </w:p>
        </w:tc>
        <w:tc>
          <w:tcPr>
            <w:tcW w:w="2249" w:type="dxa"/>
          </w:tcPr>
          <w:p w14:paraId="35A180AB">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观察点与记录方式</w:t>
            </w:r>
          </w:p>
          <w:p w14:paraId="D90FD14D">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给水培植物加水的量与方式。</w:t>
            </w:r>
          </w:p>
        </w:tc>
      </w:tr>
      <w:tr w14:paraId="4761B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dxa"/>
          </w:tcPr>
          <w:p w14:paraId="587CC126">
            <w:pPr>
              <w:widowControl/>
              <w:spacing w:line="360" w:lineRule="auto"/>
              <w:jc w:val="both"/>
              <w:textAlignment w:val="center"/>
              <w:rPr>
                <w:rFonts w:hint="default" w:ascii="宋体" w:hAnsi="宋体" w:eastAsia="宋体" w:cs="宋体"/>
                <w:b/>
                <w:bCs/>
                <w:color w:val="000000"/>
                <w:kern w:val="0"/>
                <w:sz w:val="21"/>
                <w:szCs w:val="21"/>
                <w:u w:val="none"/>
                <w:vertAlign w:val="baseline"/>
                <w:lang w:val="en-US" w:eastAsia="zh-CN" w:bidi="ar-SA"/>
              </w:rPr>
            </w:pPr>
            <w:r>
              <w:rPr>
                <w:rFonts w:hint="eastAsia" w:ascii="宋体" w:hAnsi="宋体" w:eastAsia="宋体" w:cs="宋体"/>
                <w:b/>
                <w:bCs/>
                <w:color w:val="000000"/>
                <w:kern w:val="0"/>
                <w:sz w:val="21"/>
                <w:szCs w:val="21"/>
                <w:u w:val="none"/>
                <w:vertAlign w:val="baseline"/>
                <w:lang w:val="en-US" w:eastAsia="zh-CN" w:bidi="ar-SA"/>
              </w:rPr>
              <w:t>生活区</w:t>
            </w:r>
          </w:p>
        </w:tc>
        <w:tc>
          <w:tcPr>
            <w:tcW w:w="4094" w:type="dxa"/>
            <w:vAlign w:val="top"/>
          </w:tcPr>
          <w:p w14:paraId="4CBFAB6D">
            <w:pPr>
              <w:widowControl/>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·夏日时装、夏日风扇设计</w:t>
            </w:r>
          </w:p>
          <w:p w14:paraId="31883EAC">
            <w:pPr>
              <w:widowControl/>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材料</w:t>
            </w:r>
            <w:r>
              <w:rPr>
                <w:rFonts w:hint="eastAsia" w:ascii="宋体" w:hAnsi="宋体" w:cs="宋体"/>
                <w:b w:val="0"/>
                <w:bCs w:val="0"/>
                <w:color w:val="000000"/>
                <w:kern w:val="0"/>
                <w:sz w:val="21"/>
                <w:szCs w:val="21"/>
                <w:u w:val="none"/>
                <w:vertAlign w:val="baseline"/>
                <w:lang w:val="en-US" w:eastAsia="zh-CN" w:bidi="ar-SA"/>
              </w:rPr>
              <w:t>：扇子半成品，彩色毛线，多种材质的布料，各类纸张，各类工具（剪刀、胶水、尺子、订书机等），玉米粒、毛球、自制粘土装饰物、羽毛、装饰花边、毛根等多元的装饰材料。</w:t>
            </w:r>
          </w:p>
        </w:tc>
        <w:tc>
          <w:tcPr>
            <w:tcW w:w="2521" w:type="dxa"/>
          </w:tcPr>
          <w:p w14:paraId="62E2100D">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用多种物品组合创作服装。</w:t>
            </w:r>
          </w:p>
          <w:p w14:paraId="B2D3F8B8">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能用喜欢的颜色进行色彩搭配，使服装颜色和谐。</w:t>
            </w:r>
          </w:p>
        </w:tc>
        <w:tc>
          <w:tcPr>
            <w:tcW w:w="2925" w:type="dxa"/>
            <w:vAlign w:val="top"/>
          </w:tcPr>
          <w:p w14:paraId="7ACD1039">
            <w:pPr>
              <w:widowControl/>
              <w:numPr>
                <w:ilvl w:val="0"/>
                <w:numId w:val="0"/>
              </w:numPr>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夏日时装：运用多种不同的材料设计并制作出自己的服装。</w:t>
            </w:r>
          </w:p>
          <w:p w14:paraId="52E6F4B9">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夏日风扇设计：通过有规律的缠绕毛线的方式，制作出属于自己的扇子。</w:t>
            </w:r>
          </w:p>
        </w:tc>
        <w:tc>
          <w:tcPr>
            <w:tcW w:w="2715" w:type="dxa"/>
            <w:gridSpan w:val="2"/>
          </w:tcPr>
          <w:p w14:paraId="70637872">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ascii="宋体" w:hAnsi="宋体" w:eastAsia="宋体" w:cs="宋体"/>
                <w:sz w:val="24"/>
                <w:szCs w:val="24"/>
              </w:rPr>
              <w:drawing>
                <wp:inline distT="0" distB="0" distL="114300" distR="114300">
                  <wp:extent cx="2400300" cy="1800225"/>
                  <wp:effectExtent l="0" t="0" r="0" b="3175"/>
                  <wp:docPr id="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6"/>
                          <pic:cNvPicPr>
                            <a:picLocks noChangeAspect="1"/>
                          </pic:cNvPicPr>
                        </pic:nvPicPr>
                        <pic:blipFill>
                          <a:blip r:embed="rId8"/>
                          <a:stretch>
                            <a:fillRect/>
                          </a:stretch>
                        </pic:blipFill>
                        <pic:spPr>
                          <a:xfrm>
                            <a:off x="0" y="0"/>
                            <a:ext cx="2400300" cy="1800225"/>
                          </a:xfrm>
                          <a:prstGeom prst="rect">
                            <a:avLst/>
                          </a:prstGeom>
                          <a:noFill/>
                          <a:ln w="9525">
                            <a:noFill/>
                          </a:ln>
                        </pic:spPr>
                      </pic:pic>
                    </a:graphicData>
                  </a:graphic>
                </wp:inline>
              </w:drawing>
            </w:r>
          </w:p>
        </w:tc>
        <w:tc>
          <w:tcPr>
            <w:tcW w:w="2249" w:type="dxa"/>
            <w:shd w:val="clear"/>
            <w:vAlign w:val="top"/>
          </w:tcPr>
          <w:p w14:paraId="54060211">
            <w:pPr>
              <w:widowControl/>
              <w:numPr>
                <w:ilvl w:val="0"/>
                <w:numId w:val="0"/>
              </w:numPr>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服装的固定方式使用工具是否适合。</w:t>
            </w:r>
          </w:p>
          <w:p w14:paraId="6DF60AC4">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以颜色为基础进行有规律的缠绕。</w:t>
            </w:r>
          </w:p>
        </w:tc>
      </w:tr>
      <w:tr w14:paraId="621A8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dxa"/>
          </w:tcPr>
          <w:p w14:paraId="27B00507">
            <w:pPr>
              <w:widowControl/>
              <w:spacing w:line="360" w:lineRule="auto"/>
              <w:jc w:val="both"/>
              <w:textAlignment w:val="center"/>
              <w:rPr>
                <w:rFonts w:hint="default" w:ascii="宋体" w:hAnsi="宋体" w:eastAsia="宋体" w:cs="宋体"/>
                <w:b/>
                <w:bCs/>
                <w:color w:val="000000"/>
                <w:kern w:val="0"/>
                <w:sz w:val="21"/>
                <w:szCs w:val="21"/>
                <w:u w:val="none"/>
                <w:vertAlign w:val="baseline"/>
                <w:lang w:val="en-US" w:eastAsia="zh-CN" w:bidi="ar-SA"/>
              </w:rPr>
            </w:pPr>
            <w:r>
              <w:rPr>
                <w:rFonts w:hint="eastAsia" w:ascii="宋体" w:hAnsi="宋体" w:eastAsia="宋体" w:cs="宋体"/>
                <w:b/>
                <w:bCs/>
                <w:color w:val="000000"/>
                <w:kern w:val="0"/>
                <w:sz w:val="21"/>
                <w:szCs w:val="21"/>
                <w:u w:val="none"/>
                <w:vertAlign w:val="baseline"/>
                <w:lang w:val="en-US" w:eastAsia="zh-CN" w:bidi="ar-SA"/>
              </w:rPr>
              <w:t>阅读区</w:t>
            </w:r>
          </w:p>
        </w:tc>
        <w:tc>
          <w:tcPr>
            <w:tcW w:w="4094" w:type="dxa"/>
          </w:tcPr>
          <w:p w14:paraId="069AA506">
            <w:pPr>
              <w:widowControl/>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·自主阅读夏日及向日葵有关书籍、</w:t>
            </w:r>
          </w:p>
          <w:p w14:paraId="5DA3DE66">
            <w:pPr>
              <w:widowControl/>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材料：推荐书籍（点点的夏天、夏天的色彩、小蚂蚁向上爬、向日葵等）、录音、音频、阅读题卡</w:t>
            </w:r>
          </w:p>
        </w:tc>
        <w:tc>
          <w:tcPr>
            <w:tcW w:w="2521" w:type="dxa"/>
          </w:tcPr>
          <w:p w14:paraId="348169F4">
            <w:pPr>
              <w:widowControl/>
              <w:numPr>
                <w:ilvl w:val="0"/>
                <w:numId w:val="0"/>
              </w:numPr>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1.阅读兴趣与态度</w:t>
            </w:r>
          </w:p>
          <w:p w14:paraId="736EFA3A">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2.倾听与理解故事内容的能力</w:t>
            </w:r>
          </w:p>
          <w:p w14:paraId="11580A2E">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3.故事结构与叙事能力</w:t>
            </w:r>
          </w:p>
        </w:tc>
        <w:tc>
          <w:tcPr>
            <w:tcW w:w="2925" w:type="dxa"/>
          </w:tcPr>
          <w:p w14:paraId="4B34233C">
            <w:pPr>
              <w:widowControl/>
              <w:numPr>
                <w:ilvl w:val="0"/>
                <w:numId w:val="0"/>
              </w:numPr>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1.自主选择并阅读或倾听喜欢的绘本</w:t>
            </w:r>
          </w:p>
          <w:p w14:paraId="324BFF16">
            <w:pPr>
              <w:widowControl/>
              <w:numPr>
                <w:ilvl w:val="0"/>
                <w:numId w:val="0"/>
              </w:numPr>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2.围绕绘本题卡，进行阅读内容深度探索</w:t>
            </w:r>
          </w:p>
          <w:p w14:paraId="0457E7E2">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3.能够基本连贯的讲述内容。</w:t>
            </w:r>
          </w:p>
        </w:tc>
        <w:tc>
          <w:tcPr>
            <w:tcW w:w="2715" w:type="dxa"/>
            <w:gridSpan w:val="2"/>
          </w:tcPr>
          <w:p w14:paraId="7E751BA3">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ascii="宋体" w:hAnsi="宋体" w:eastAsia="宋体" w:cs="宋体"/>
                <w:sz w:val="24"/>
                <w:szCs w:val="24"/>
              </w:rPr>
              <w:drawing>
                <wp:inline distT="0" distB="0" distL="114300" distR="114300">
                  <wp:extent cx="2400300" cy="1800225"/>
                  <wp:effectExtent l="0" t="0" r="0" b="3175"/>
                  <wp:docPr id="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6"/>
                          <pic:cNvPicPr>
                            <a:picLocks noChangeAspect="1"/>
                          </pic:cNvPicPr>
                        </pic:nvPicPr>
                        <pic:blipFill>
                          <a:blip r:embed="rId9"/>
                          <a:stretch>
                            <a:fillRect/>
                          </a:stretch>
                        </pic:blipFill>
                        <pic:spPr>
                          <a:xfrm>
                            <a:off x="0" y="0"/>
                            <a:ext cx="2400300" cy="1800225"/>
                          </a:xfrm>
                          <a:prstGeom prst="rect">
                            <a:avLst/>
                          </a:prstGeom>
                          <a:noFill/>
                          <a:ln w="9525">
                            <a:noFill/>
                          </a:ln>
                        </pic:spPr>
                      </pic:pic>
                    </a:graphicData>
                  </a:graphic>
                </wp:inline>
              </w:drawing>
            </w:r>
          </w:p>
        </w:tc>
        <w:tc>
          <w:tcPr>
            <w:tcW w:w="2249" w:type="dxa"/>
          </w:tcPr>
          <w:p w14:paraId="11B67EFA">
            <w:pPr>
              <w:widowControl/>
              <w:numPr>
                <w:ilvl w:val="0"/>
                <w:numId w:val="0"/>
              </w:numPr>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1.阅读兴趣与专注度；</w:t>
            </w:r>
          </w:p>
          <w:p w14:paraId="536A1E9D">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2.理解与表达表现；</w:t>
            </w:r>
          </w:p>
          <w:p w14:paraId="21533F7B">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3.社会性互动。</w:t>
            </w:r>
          </w:p>
        </w:tc>
      </w:tr>
      <w:tr w14:paraId="33C4B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dxa"/>
          </w:tcPr>
          <w:p w14:paraId="4F9F3658">
            <w:pPr>
              <w:widowControl/>
              <w:spacing w:line="360" w:lineRule="auto"/>
              <w:jc w:val="both"/>
              <w:textAlignment w:val="center"/>
              <w:rPr>
                <w:rFonts w:hint="default" w:ascii="宋体" w:hAnsi="宋体" w:eastAsia="宋体" w:cs="宋体"/>
                <w:b/>
                <w:bCs/>
                <w:color w:val="000000"/>
                <w:kern w:val="0"/>
                <w:sz w:val="21"/>
                <w:szCs w:val="21"/>
                <w:u w:val="none"/>
                <w:vertAlign w:val="baseline"/>
                <w:lang w:val="en-US" w:eastAsia="zh-CN" w:bidi="ar-SA"/>
              </w:rPr>
            </w:pPr>
            <w:r>
              <w:rPr>
                <w:rFonts w:hint="eastAsia" w:ascii="宋体" w:hAnsi="宋体" w:eastAsia="宋体" w:cs="宋体"/>
                <w:b/>
                <w:bCs/>
                <w:color w:val="000000"/>
                <w:kern w:val="0"/>
                <w:sz w:val="21"/>
                <w:szCs w:val="21"/>
                <w:u w:val="none"/>
                <w:vertAlign w:val="baseline"/>
                <w:lang w:val="en-US" w:eastAsia="zh-CN" w:bidi="ar-SA"/>
              </w:rPr>
              <w:t>小建构</w:t>
            </w:r>
          </w:p>
        </w:tc>
        <w:tc>
          <w:tcPr>
            <w:tcW w:w="4094" w:type="dxa"/>
          </w:tcPr>
          <w:p w14:paraId="36ABD6D5">
            <w:pPr>
              <w:widowControl/>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·各种各样的交通工具与建筑</w:t>
            </w:r>
          </w:p>
          <w:p w14:paraId="686624C4">
            <w:pPr>
              <w:widowControl/>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材料：雪花片，建筑图纸，记录纸，笔</w:t>
            </w:r>
          </w:p>
        </w:tc>
        <w:tc>
          <w:tcPr>
            <w:tcW w:w="2521" w:type="dxa"/>
          </w:tcPr>
          <w:p w14:paraId="21B4FC6E">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default" w:ascii="宋体" w:hAnsi="宋体" w:eastAsia="宋体" w:cs="宋体"/>
                <w:b w:val="0"/>
                <w:bCs w:val="0"/>
                <w:color w:val="000000"/>
                <w:kern w:val="0"/>
                <w:sz w:val="21"/>
                <w:szCs w:val="21"/>
                <w:u w:val="none"/>
                <w:vertAlign w:val="baseline"/>
                <w:lang w:val="en-US" w:eastAsia="zh-CN" w:bidi="ar-SA"/>
              </w:rPr>
              <w:t>1</w:t>
            </w:r>
            <w:r>
              <w:rPr>
                <w:rFonts w:hint="eastAsia" w:ascii="宋体" w:hAnsi="宋体" w:eastAsia="宋体" w:cs="宋体"/>
                <w:b w:val="0"/>
                <w:bCs w:val="0"/>
                <w:color w:val="000000"/>
                <w:kern w:val="0"/>
                <w:sz w:val="21"/>
                <w:szCs w:val="21"/>
                <w:u w:val="none"/>
                <w:vertAlign w:val="baseline"/>
                <w:lang w:val="en-US" w:eastAsia="zh-CN" w:bidi="ar-SA"/>
              </w:rPr>
              <w:t>、能够借助几何形状拼出建筑与交通工具。</w:t>
            </w:r>
          </w:p>
        </w:tc>
        <w:tc>
          <w:tcPr>
            <w:tcW w:w="2925" w:type="dxa"/>
          </w:tcPr>
          <w:p w14:paraId="23644DE4">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选择图纸并进行拼搭。</w:t>
            </w:r>
          </w:p>
          <w:p w14:paraId="39CDF3B3">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尝试用不同的几何图形拼成建筑。</w:t>
            </w:r>
          </w:p>
        </w:tc>
        <w:tc>
          <w:tcPr>
            <w:tcW w:w="2715" w:type="dxa"/>
            <w:gridSpan w:val="2"/>
          </w:tcPr>
          <w:p w14:paraId="0E9D1F7E">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default" w:ascii="宋体" w:hAnsi="宋体" w:eastAsia="宋体" w:cs="宋体"/>
                <w:b w:val="0"/>
                <w:bCs w:val="0"/>
                <w:color w:val="000000"/>
                <w:kern w:val="0"/>
                <w:sz w:val="21"/>
                <w:szCs w:val="21"/>
                <w:u w:val="none"/>
                <w:vertAlign w:val="baseline"/>
                <w:lang w:val="en-US" w:eastAsia="zh-CN" w:bidi="ar-SA"/>
              </w:rPr>
              <w:drawing>
                <wp:inline distT="0" distB="0" distL="114300" distR="114300">
                  <wp:extent cx="2381250" cy="1785620"/>
                  <wp:effectExtent l="0" t="0" r="6350" b="5080"/>
                  <wp:docPr id="8" name="图片 8" descr="e400d29e178eb5bca1a089660f49f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e400d29e178eb5bca1a089660f49f466"/>
                          <pic:cNvPicPr>
                            <a:picLocks noChangeAspect="1"/>
                          </pic:cNvPicPr>
                        </pic:nvPicPr>
                        <pic:blipFill>
                          <a:blip r:embed="rId10"/>
                          <a:stretch>
                            <a:fillRect/>
                          </a:stretch>
                        </pic:blipFill>
                        <pic:spPr>
                          <a:xfrm>
                            <a:off x="0" y="0"/>
                            <a:ext cx="2381250" cy="1785620"/>
                          </a:xfrm>
                          <a:prstGeom prst="rect">
                            <a:avLst/>
                          </a:prstGeom>
                        </pic:spPr>
                      </pic:pic>
                    </a:graphicData>
                  </a:graphic>
                </wp:inline>
              </w:drawing>
            </w:r>
          </w:p>
        </w:tc>
        <w:tc>
          <w:tcPr>
            <w:tcW w:w="2249" w:type="dxa"/>
          </w:tcPr>
          <w:p w14:paraId="7C47F368">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雪花片颜色的搭配；</w:t>
            </w:r>
          </w:p>
          <w:p w14:paraId="CABD0DCD">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雪花片图形之间的连接。</w:t>
            </w:r>
          </w:p>
        </w:tc>
      </w:tr>
      <w:tr w14:paraId="10AF8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dxa"/>
          </w:tcPr>
          <w:p w14:paraId="4E28EC41">
            <w:pPr>
              <w:widowControl/>
              <w:spacing w:line="360" w:lineRule="auto"/>
              <w:jc w:val="both"/>
              <w:textAlignment w:val="center"/>
              <w:rPr>
                <w:rFonts w:hint="default" w:ascii="宋体" w:hAnsi="宋体" w:eastAsia="宋体" w:cs="宋体"/>
                <w:b/>
                <w:bCs/>
                <w:color w:val="000000"/>
                <w:kern w:val="0"/>
                <w:sz w:val="21"/>
                <w:szCs w:val="21"/>
                <w:u w:val="none"/>
                <w:vertAlign w:val="baseline"/>
                <w:lang w:val="en-US" w:eastAsia="zh-CN" w:bidi="ar-SA"/>
              </w:rPr>
            </w:pPr>
            <w:r>
              <w:rPr>
                <w:rFonts w:hint="eastAsia" w:ascii="宋体" w:hAnsi="宋体" w:eastAsia="宋体" w:cs="宋体"/>
                <w:b/>
                <w:bCs/>
                <w:color w:val="000000"/>
                <w:kern w:val="0"/>
                <w:sz w:val="21"/>
                <w:szCs w:val="21"/>
                <w:u w:val="none"/>
                <w:vertAlign w:val="baseline"/>
                <w:lang w:val="en-US" w:eastAsia="zh-CN" w:bidi="ar-SA"/>
              </w:rPr>
              <w:t>自然材料拼搭区</w:t>
            </w:r>
          </w:p>
        </w:tc>
        <w:tc>
          <w:tcPr>
            <w:tcW w:w="4094" w:type="dxa"/>
            <w:vAlign w:val="top"/>
          </w:tcPr>
          <w:p w14:paraId="124C0419">
            <w:pPr>
              <w:widowControl/>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·向日葵花田、夏日畅想</w:t>
            </w:r>
          </w:p>
          <w:p w14:paraId="48D76830">
            <w:pPr>
              <w:widowControl/>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材料：</w:t>
            </w:r>
            <w:r>
              <w:rPr>
                <w:rFonts w:hint="eastAsia" w:ascii="宋体" w:hAnsi="宋体" w:cs="宋体"/>
                <w:b w:val="0"/>
                <w:bCs w:val="0"/>
                <w:color w:val="000000"/>
                <w:kern w:val="0"/>
                <w:sz w:val="21"/>
                <w:szCs w:val="21"/>
                <w:u w:val="none"/>
                <w:vertAlign w:val="baseline"/>
                <w:lang w:val="en-US" w:eastAsia="zh-CN" w:bidi="ar-SA"/>
              </w:rPr>
              <w:t>阿基米德、彩色积木、多米诺骨牌以及多元化的自然材料，图示</w:t>
            </w:r>
          </w:p>
        </w:tc>
        <w:tc>
          <w:tcPr>
            <w:tcW w:w="2521" w:type="dxa"/>
          </w:tcPr>
          <w:p w14:paraId="68C9CE6B">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能够在水平或垂直方向上搭建建筑与向日葵。</w:t>
            </w:r>
          </w:p>
        </w:tc>
        <w:tc>
          <w:tcPr>
            <w:tcW w:w="2925" w:type="dxa"/>
            <w:shd w:val="clear"/>
            <w:vAlign w:val="top"/>
          </w:tcPr>
          <w:p w14:paraId="6240F6EA">
            <w:pPr>
              <w:widowControl/>
              <w:numPr>
                <w:ilvl w:val="0"/>
                <w:numId w:val="0"/>
              </w:numPr>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向日葵花田：运用多种材料进行向日葵花田的拼搭创作。</w:t>
            </w:r>
          </w:p>
          <w:p w14:paraId="39AC1AA0">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夏日畅想：运用多种材料进行夏日畅想的拼搭创作。</w:t>
            </w:r>
          </w:p>
        </w:tc>
        <w:tc>
          <w:tcPr>
            <w:tcW w:w="2715" w:type="dxa"/>
            <w:gridSpan w:val="2"/>
          </w:tcPr>
          <w:p w14:paraId="079F97D1">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default" w:ascii="宋体" w:hAnsi="宋体" w:eastAsia="宋体" w:cs="宋体"/>
                <w:b w:val="0"/>
                <w:bCs w:val="0"/>
                <w:color w:val="000000"/>
                <w:kern w:val="0"/>
                <w:sz w:val="21"/>
                <w:szCs w:val="21"/>
                <w:u w:val="none"/>
                <w:vertAlign w:val="baseline"/>
                <w:lang w:val="en-US" w:eastAsia="zh-CN" w:bidi="ar-SA"/>
              </w:rPr>
              <w:drawing>
                <wp:inline distT="0" distB="0" distL="114300" distR="114300">
                  <wp:extent cx="2381250" cy="1785620"/>
                  <wp:effectExtent l="0" t="0" r="6350" b="5080"/>
                  <wp:docPr id="5" name="图片 5" descr="9df2958593ab384cf1966b771a57b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9df2958593ab384cf1966b771a57bbce"/>
                          <pic:cNvPicPr>
                            <a:picLocks noChangeAspect="1"/>
                          </pic:cNvPicPr>
                        </pic:nvPicPr>
                        <pic:blipFill>
                          <a:blip r:embed="rId11"/>
                          <a:stretch>
                            <a:fillRect/>
                          </a:stretch>
                        </pic:blipFill>
                        <pic:spPr>
                          <a:xfrm>
                            <a:off x="0" y="0"/>
                            <a:ext cx="2381250" cy="1785620"/>
                          </a:xfrm>
                          <a:prstGeom prst="rect">
                            <a:avLst/>
                          </a:prstGeom>
                        </pic:spPr>
                      </pic:pic>
                    </a:graphicData>
                  </a:graphic>
                </wp:inline>
              </w:drawing>
            </w:r>
          </w:p>
        </w:tc>
        <w:tc>
          <w:tcPr>
            <w:tcW w:w="2249" w:type="dxa"/>
          </w:tcPr>
          <w:p w14:paraId="63E46A9C">
            <w:pPr>
              <w:widowControl/>
              <w:numPr>
                <w:ilvl w:val="0"/>
                <w:numId w:val="0"/>
              </w:numPr>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关注材料搭配与花田层次感。</w:t>
            </w:r>
          </w:p>
          <w:p w14:paraId="1A6D8E03">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聚焦材料表达与材料适配性。</w:t>
            </w:r>
          </w:p>
        </w:tc>
      </w:tr>
      <w:tr w14:paraId="1FB47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dxa"/>
          </w:tcPr>
          <w:p w14:paraId="7C098F92">
            <w:pPr>
              <w:widowControl/>
              <w:spacing w:line="360" w:lineRule="auto"/>
              <w:jc w:val="both"/>
              <w:textAlignment w:val="center"/>
              <w:rPr>
                <w:rFonts w:hint="default" w:ascii="宋体" w:hAnsi="宋体" w:eastAsia="宋体" w:cs="宋体"/>
                <w:b/>
                <w:bCs/>
                <w:color w:val="000000"/>
                <w:kern w:val="0"/>
                <w:sz w:val="21"/>
                <w:szCs w:val="21"/>
                <w:u w:val="none"/>
                <w:vertAlign w:val="baseline"/>
                <w:lang w:val="en-US" w:eastAsia="zh-CN" w:bidi="ar-SA"/>
              </w:rPr>
            </w:pPr>
            <w:r>
              <w:rPr>
                <w:rFonts w:hint="eastAsia" w:ascii="宋体" w:hAnsi="宋体" w:eastAsia="宋体" w:cs="宋体"/>
                <w:b/>
                <w:bCs/>
                <w:color w:val="000000"/>
                <w:kern w:val="0"/>
                <w:sz w:val="21"/>
                <w:szCs w:val="21"/>
                <w:u w:val="none"/>
                <w:vertAlign w:val="baseline"/>
                <w:lang w:val="en-US" w:eastAsia="zh-CN" w:bidi="ar-SA"/>
              </w:rPr>
              <w:t>积木区</w:t>
            </w:r>
          </w:p>
        </w:tc>
        <w:tc>
          <w:tcPr>
            <w:tcW w:w="4094" w:type="dxa"/>
          </w:tcPr>
          <w:p w14:paraId="311343E8">
            <w:pPr>
              <w:widowControl/>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·水上乐园、各种各样的房子</w:t>
            </w:r>
          </w:p>
          <w:p w14:paraId="5585CB55">
            <w:pPr>
              <w:widowControl/>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材料;不同形状的积木</w:t>
            </w:r>
            <w:r>
              <w:rPr>
                <w:rFonts w:hint="eastAsia" w:ascii="宋体" w:hAnsi="宋体" w:cs="宋体"/>
                <w:b w:val="0"/>
                <w:bCs w:val="0"/>
                <w:color w:val="000000"/>
                <w:kern w:val="0"/>
                <w:sz w:val="21"/>
                <w:szCs w:val="21"/>
                <w:u w:val="none"/>
                <w:vertAlign w:val="baseline"/>
                <w:lang w:val="en-US" w:eastAsia="zh-CN" w:bidi="ar-SA"/>
              </w:rPr>
              <w:t>，各类纸杯，木棍彩色积木，各类辅助材料。</w:t>
            </w:r>
          </w:p>
        </w:tc>
        <w:tc>
          <w:tcPr>
            <w:tcW w:w="2521" w:type="dxa"/>
          </w:tcPr>
          <w:p w14:paraId="55060338">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能够尝试用架空、围合等方式拼搭。</w:t>
            </w:r>
          </w:p>
          <w:p w14:paraId="EFF30E81">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同时在水平或垂直方向上搭建积木，并借助班级其他材料辅助搭建，装饰。</w:t>
            </w:r>
          </w:p>
        </w:tc>
        <w:tc>
          <w:tcPr>
            <w:tcW w:w="2925" w:type="dxa"/>
          </w:tcPr>
          <w:p w14:paraId="3F3FC42D">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default" w:ascii="宋体" w:hAnsi="宋体" w:eastAsia="宋体" w:cs="宋体"/>
                <w:b w:val="0"/>
                <w:bCs w:val="0"/>
                <w:color w:val="000000"/>
                <w:kern w:val="0"/>
                <w:sz w:val="21"/>
                <w:szCs w:val="21"/>
                <w:u w:val="none"/>
                <w:vertAlign w:val="baseline"/>
                <w:lang w:val="en-US" w:eastAsia="zh-CN" w:bidi="ar-SA"/>
              </w:rPr>
              <w:t>1</w:t>
            </w:r>
            <w:r>
              <w:rPr>
                <w:rFonts w:hint="eastAsia" w:ascii="宋体" w:hAnsi="宋体" w:eastAsia="宋体" w:cs="宋体"/>
                <w:b w:val="0"/>
                <w:bCs w:val="0"/>
                <w:color w:val="000000"/>
                <w:kern w:val="0"/>
                <w:sz w:val="21"/>
                <w:szCs w:val="21"/>
                <w:u w:val="none"/>
                <w:vertAlign w:val="baseline"/>
                <w:lang w:val="en-US" w:eastAsia="zh-CN" w:bidi="ar-SA"/>
              </w:rPr>
              <w:t>、选择图示设计图纸并拼搭建筑。</w:t>
            </w:r>
          </w:p>
        </w:tc>
        <w:tc>
          <w:tcPr>
            <w:tcW w:w="2715" w:type="dxa"/>
            <w:gridSpan w:val="2"/>
          </w:tcPr>
          <w:p w14:paraId="63ACE8C0">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default" w:ascii="宋体" w:hAnsi="宋体" w:eastAsia="宋体" w:cs="宋体"/>
                <w:b w:val="0"/>
                <w:bCs w:val="0"/>
                <w:color w:val="000000"/>
                <w:kern w:val="0"/>
                <w:sz w:val="21"/>
                <w:szCs w:val="21"/>
                <w:u w:val="none"/>
                <w:vertAlign w:val="baseline"/>
                <w:lang w:val="en-US" w:eastAsia="zh-CN" w:bidi="ar-SA"/>
              </w:rPr>
              <w:drawing>
                <wp:inline distT="0" distB="0" distL="114300" distR="114300">
                  <wp:extent cx="2381250" cy="1785620"/>
                  <wp:effectExtent l="0" t="0" r="6350" b="5080"/>
                  <wp:docPr id="9" name="图片 9" descr="e5a976b96e7d48d91b196b59940592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e5a976b96e7d48d91b196b599405921a"/>
                          <pic:cNvPicPr>
                            <a:picLocks noChangeAspect="1"/>
                          </pic:cNvPicPr>
                        </pic:nvPicPr>
                        <pic:blipFill>
                          <a:blip r:embed="rId12"/>
                          <a:stretch>
                            <a:fillRect/>
                          </a:stretch>
                        </pic:blipFill>
                        <pic:spPr>
                          <a:xfrm>
                            <a:off x="0" y="0"/>
                            <a:ext cx="2381250" cy="1785620"/>
                          </a:xfrm>
                          <a:prstGeom prst="rect">
                            <a:avLst/>
                          </a:prstGeom>
                        </pic:spPr>
                      </pic:pic>
                    </a:graphicData>
                  </a:graphic>
                </wp:inline>
              </w:drawing>
            </w:r>
          </w:p>
        </w:tc>
        <w:tc>
          <w:tcPr>
            <w:tcW w:w="2249" w:type="dxa"/>
          </w:tcPr>
          <w:p w14:paraId="2C43E437">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default" w:ascii="宋体" w:hAnsi="宋体" w:eastAsia="宋体" w:cs="宋体"/>
                <w:b w:val="0"/>
                <w:bCs w:val="0"/>
                <w:color w:val="000000"/>
                <w:kern w:val="0"/>
                <w:sz w:val="21"/>
                <w:szCs w:val="21"/>
                <w:u w:val="none"/>
                <w:vertAlign w:val="baseline"/>
                <w:lang w:val="en-US" w:eastAsia="zh-CN" w:bidi="ar-SA"/>
              </w:rPr>
              <w:t>1</w:t>
            </w:r>
            <w:r>
              <w:rPr>
                <w:rFonts w:hint="eastAsia" w:ascii="宋体" w:hAnsi="宋体" w:eastAsia="宋体" w:cs="宋体"/>
                <w:b w:val="0"/>
                <w:bCs w:val="0"/>
                <w:color w:val="000000"/>
                <w:kern w:val="0"/>
                <w:sz w:val="21"/>
                <w:szCs w:val="21"/>
                <w:u w:val="none"/>
                <w:vertAlign w:val="baseline"/>
                <w:lang w:val="en-US" w:eastAsia="zh-CN" w:bidi="ar-SA"/>
              </w:rPr>
              <w:t>、建筑搭建过程中的方式方法。</w:t>
            </w:r>
          </w:p>
        </w:tc>
      </w:tr>
      <w:tr w14:paraId="08D09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6" w:hRule="atLeast"/>
        </w:trPr>
        <w:tc>
          <w:tcPr>
            <w:tcW w:w="1110" w:type="dxa"/>
          </w:tcPr>
          <w:p w14:paraId="27B46C8A">
            <w:pPr>
              <w:widowControl/>
              <w:spacing w:line="360" w:lineRule="auto"/>
              <w:jc w:val="both"/>
              <w:textAlignment w:val="center"/>
              <w:rPr>
                <w:rFonts w:hint="default" w:ascii="宋体" w:hAnsi="宋体" w:eastAsia="宋体" w:cs="宋体"/>
                <w:b/>
                <w:bCs/>
                <w:color w:val="000000"/>
                <w:kern w:val="0"/>
                <w:sz w:val="21"/>
                <w:szCs w:val="21"/>
                <w:u w:val="none"/>
                <w:vertAlign w:val="baseline"/>
                <w:lang w:val="en-US" w:eastAsia="zh-CN" w:bidi="ar-SA"/>
              </w:rPr>
            </w:pPr>
            <w:r>
              <w:rPr>
                <w:rFonts w:hint="eastAsia" w:ascii="宋体" w:hAnsi="宋体" w:eastAsia="宋体" w:cs="宋体"/>
                <w:b/>
                <w:bCs/>
                <w:color w:val="000000"/>
                <w:kern w:val="0"/>
                <w:sz w:val="21"/>
                <w:szCs w:val="21"/>
                <w:u w:val="none"/>
                <w:vertAlign w:val="baseline"/>
                <w:lang w:val="en-US" w:eastAsia="zh-CN" w:bidi="ar-SA"/>
              </w:rPr>
              <w:t>益智区</w:t>
            </w:r>
          </w:p>
        </w:tc>
        <w:tc>
          <w:tcPr>
            <w:tcW w:w="4094" w:type="dxa"/>
          </w:tcPr>
          <w:p w14:paraId="7EEDC6C1">
            <w:pPr>
              <w:widowControl/>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·图形拼搭</w:t>
            </w:r>
            <w:r>
              <w:rPr>
                <w:rFonts w:hint="default" w:ascii="宋体" w:hAnsi="宋体" w:eastAsia="宋体" w:cs="宋体"/>
                <w:b w:val="0"/>
                <w:bCs w:val="0"/>
                <w:color w:val="000000"/>
                <w:kern w:val="0"/>
                <w:sz w:val="21"/>
                <w:szCs w:val="21"/>
                <w:u w:val="none"/>
                <w:vertAlign w:val="baseline"/>
                <w:lang w:eastAsia="zh-CN" w:bidi="ar-SA"/>
              </w:rPr>
              <w:t>挑战</w:t>
            </w:r>
            <w:r>
              <w:rPr>
                <w:rFonts w:hint="eastAsia" w:ascii="宋体" w:hAnsi="宋体" w:eastAsia="宋体" w:cs="宋体"/>
                <w:b w:val="0"/>
                <w:bCs w:val="0"/>
                <w:color w:val="000000"/>
                <w:kern w:val="0"/>
                <w:sz w:val="21"/>
                <w:szCs w:val="21"/>
                <w:u w:val="none"/>
                <w:vertAlign w:val="baseline"/>
                <w:lang w:val="en-US" w:eastAsia="zh-CN" w:bidi="ar-SA"/>
              </w:rPr>
              <w:t>、数与数量、空间位置关系匹配挑战</w:t>
            </w:r>
          </w:p>
          <w:p w14:paraId="0257189A">
            <w:pPr>
              <w:widowControl/>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材料：相关游戏材料、情境底板、支架性环境。</w:t>
            </w:r>
          </w:p>
        </w:tc>
        <w:tc>
          <w:tcPr>
            <w:tcW w:w="2521" w:type="dxa"/>
          </w:tcPr>
          <w:p w14:paraId="072387BA">
            <w:pPr>
              <w:widowControl/>
              <w:numPr>
                <w:ilvl w:val="0"/>
                <w:numId w:val="0"/>
              </w:numPr>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1.空间方位与位置；</w:t>
            </w:r>
          </w:p>
          <w:p w14:paraId="6CAB15A0">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2.形状、点数、对应能力；</w:t>
            </w:r>
          </w:p>
          <w:p w14:paraId="11E2CE51">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3.图形与空间</w:t>
            </w:r>
          </w:p>
          <w:p w14:paraId="6D5F035D">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4.模式与关系</w:t>
            </w:r>
          </w:p>
        </w:tc>
        <w:tc>
          <w:tcPr>
            <w:tcW w:w="2925" w:type="dxa"/>
          </w:tcPr>
          <w:p w14:paraId="1EA17DCE">
            <w:pPr>
              <w:widowControl/>
              <w:numPr>
                <w:ilvl w:val="0"/>
                <w:numId w:val="0"/>
              </w:numPr>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1.自主选择挑战，根据挑战内容进行游戏；</w:t>
            </w:r>
          </w:p>
          <w:p w14:paraId="3015BE92">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2.认识基本的图形及能进行图形组合；</w:t>
            </w:r>
          </w:p>
          <w:p w14:paraId="73513D5B">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3.能够运用图形关系创造游戏内容与情境。</w:t>
            </w:r>
          </w:p>
        </w:tc>
        <w:tc>
          <w:tcPr>
            <w:tcW w:w="2715" w:type="dxa"/>
            <w:gridSpan w:val="2"/>
          </w:tcPr>
          <w:p w14:paraId="1196336A">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default" w:ascii="宋体" w:hAnsi="宋体" w:eastAsia="宋体" w:cs="宋体"/>
                <w:b w:val="0"/>
                <w:bCs w:val="0"/>
                <w:color w:val="000000"/>
                <w:kern w:val="0"/>
                <w:sz w:val="21"/>
                <w:szCs w:val="21"/>
                <w:u w:val="none"/>
                <w:vertAlign w:val="baseline"/>
                <w:lang w:val="en-US" w:eastAsia="zh-CN" w:bidi="ar-SA"/>
              </w:rPr>
              <w:drawing>
                <wp:inline distT="0" distB="0" distL="114300" distR="114300">
                  <wp:extent cx="2381250" cy="1785620"/>
                  <wp:effectExtent l="0" t="0" r="6350" b="5080"/>
                  <wp:docPr id="10" name="图片 10" descr="7802c6a5c785d6b2e36ca6070e1d6a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7802c6a5c785d6b2e36ca6070e1d6aa4"/>
                          <pic:cNvPicPr>
                            <a:picLocks noChangeAspect="1"/>
                          </pic:cNvPicPr>
                        </pic:nvPicPr>
                        <pic:blipFill>
                          <a:blip r:embed="rId13"/>
                          <a:stretch>
                            <a:fillRect/>
                          </a:stretch>
                        </pic:blipFill>
                        <pic:spPr>
                          <a:xfrm>
                            <a:off x="0" y="0"/>
                            <a:ext cx="2381250" cy="1785620"/>
                          </a:xfrm>
                          <a:prstGeom prst="rect">
                            <a:avLst/>
                          </a:prstGeom>
                        </pic:spPr>
                      </pic:pic>
                    </a:graphicData>
                  </a:graphic>
                </wp:inline>
              </w:drawing>
            </w:r>
          </w:p>
        </w:tc>
        <w:tc>
          <w:tcPr>
            <w:tcW w:w="2249" w:type="dxa"/>
          </w:tcPr>
          <w:p w14:paraId="51270C2D">
            <w:pPr>
              <w:widowControl/>
              <w:numPr>
                <w:ilvl w:val="0"/>
                <w:numId w:val="0"/>
              </w:numPr>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1.幼儿的数学行为与思维如操作方式与策略、数学语言表达、思维进阶表现等；</w:t>
            </w:r>
          </w:p>
          <w:p w14:paraId="5927C711">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2.学习品质如坚持性、专注力、自主性等。</w:t>
            </w:r>
          </w:p>
        </w:tc>
      </w:tr>
      <w:tr w14:paraId="08FDB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dxa"/>
          </w:tcPr>
          <w:p w14:paraId="4FC328C8">
            <w:pPr>
              <w:widowControl/>
              <w:spacing w:line="360" w:lineRule="auto"/>
              <w:jc w:val="both"/>
              <w:textAlignment w:val="center"/>
              <w:rPr>
                <w:rFonts w:hint="default" w:ascii="宋体" w:hAnsi="宋体" w:eastAsia="宋体" w:cs="宋体"/>
                <w:b/>
                <w:bCs/>
                <w:color w:val="000000"/>
                <w:kern w:val="0"/>
                <w:sz w:val="21"/>
                <w:szCs w:val="21"/>
                <w:u w:val="none"/>
                <w:vertAlign w:val="baseline"/>
                <w:lang w:val="en-US" w:eastAsia="zh-CN" w:bidi="ar-SA"/>
              </w:rPr>
            </w:pPr>
            <w:r>
              <w:rPr>
                <w:rFonts w:hint="eastAsia" w:ascii="宋体" w:hAnsi="宋体" w:eastAsia="宋体" w:cs="宋体"/>
                <w:b/>
                <w:bCs/>
                <w:color w:val="000000"/>
                <w:kern w:val="0"/>
                <w:sz w:val="21"/>
                <w:szCs w:val="21"/>
                <w:u w:val="none"/>
                <w:vertAlign w:val="baseline"/>
                <w:lang w:val="en-US" w:eastAsia="zh-CN" w:bidi="ar-SA"/>
              </w:rPr>
              <w:t>角色区</w:t>
            </w:r>
          </w:p>
        </w:tc>
        <w:tc>
          <w:tcPr>
            <w:tcW w:w="4094" w:type="dxa"/>
          </w:tcPr>
          <w:p w14:paraId="0888C85C">
            <w:pPr>
              <w:widowControl/>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·好朋友超市、饭店、留白主题等</w:t>
            </w:r>
          </w:p>
          <w:p w14:paraId="5C47C04A">
            <w:pPr>
              <w:widowControl/>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材料：厨房场景打造及提供各类厨房用具、超市场景打造及相应物品、理发店材料、医院材料、各类替代物想象工具材料等。</w:t>
            </w:r>
          </w:p>
        </w:tc>
        <w:tc>
          <w:tcPr>
            <w:tcW w:w="2521" w:type="dxa"/>
          </w:tcPr>
          <w:p w14:paraId="14ABE10F">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1.学习与同伴协商；</w:t>
            </w:r>
          </w:p>
          <w:p w14:paraId="7F40E4C8">
            <w:pPr>
              <w:widowControl/>
              <w:numPr>
                <w:ilvl w:val="0"/>
                <w:numId w:val="0"/>
              </w:numPr>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2.象征性思维与表征能力；</w:t>
            </w:r>
          </w:p>
          <w:p w14:paraId="0BD8AE2B">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3.想象力与创造力；</w:t>
            </w:r>
          </w:p>
          <w:p w14:paraId="46B05A0C">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4.问题解决能力。</w:t>
            </w:r>
          </w:p>
          <w:p w14:paraId="19E8517A">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p>
        </w:tc>
        <w:tc>
          <w:tcPr>
            <w:tcW w:w="2925" w:type="dxa"/>
          </w:tcPr>
          <w:p w14:paraId="14BE2598">
            <w:pPr>
              <w:widowControl/>
              <w:numPr>
                <w:ilvl w:val="0"/>
                <w:numId w:val="0"/>
              </w:numPr>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1.理解与扮演角色、制定简单规则、尝试分工合作、解决冲突；</w:t>
            </w:r>
          </w:p>
          <w:p w14:paraId="0E6DD1BF">
            <w:pPr>
              <w:widowControl/>
              <w:numPr>
                <w:ilvl w:val="0"/>
                <w:numId w:val="0"/>
              </w:numPr>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2.理解并模仿家庭和社会角色及理解基本职责和行为方式、能够在角色间转换等；</w:t>
            </w:r>
          </w:p>
          <w:p w14:paraId="50976118">
            <w:pPr>
              <w:widowControl/>
              <w:numPr>
                <w:ilvl w:val="0"/>
                <w:numId w:val="0"/>
              </w:numPr>
              <w:spacing w:line="360" w:lineRule="auto"/>
              <w:jc w:val="both"/>
              <w:textAlignment w:val="center"/>
              <w:rPr>
                <w:rFonts w:hint="eastAsia"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3.能够使用物品或动作象征性的代表其他事物；</w:t>
            </w:r>
          </w:p>
          <w:p w14:paraId="15B30D7D">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4.创造和拓展游戏情节，根据现有材料或突发奇想发展出新的游戏内容。</w:t>
            </w:r>
          </w:p>
          <w:p w14:paraId="3989EE8B">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p>
        </w:tc>
        <w:tc>
          <w:tcPr>
            <w:tcW w:w="2715" w:type="dxa"/>
            <w:gridSpan w:val="2"/>
          </w:tcPr>
          <w:p w14:paraId="13578F6C">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ascii="宋体" w:hAnsi="宋体" w:eastAsia="宋体" w:cs="宋体"/>
                <w:sz w:val="24"/>
                <w:szCs w:val="24"/>
              </w:rPr>
              <w:drawing>
                <wp:inline distT="0" distB="0" distL="114300" distR="114300">
                  <wp:extent cx="2400300" cy="1800225"/>
                  <wp:effectExtent l="0" t="0" r="0" b="3175"/>
                  <wp:docPr id="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6"/>
                          <pic:cNvPicPr>
                            <a:picLocks noChangeAspect="1"/>
                          </pic:cNvPicPr>
                        </pic:nvPicPr>
                        <pic:blipFill>
                          <a:blip r:embed="rId14"/>
                          <a:stretch>
                            <a:fillRect/>
                          </a:stretch>
                        </pic:blipFill>
                        <pic:spPr>
                          <a:xfrm>
                            <a:off x="0" y="0"/>
                            <a:ext cx="2400300" cy="1800225"/>
                          </a:xfrm>
                          <a:prstGeom prst="rect">
                            <a:avLst/>
                          </a:prstGeom>
                          <a:noFill/>
                          <a:ln w="9525">
                            <a:noFill/>
                          </a:ln>
                        </pic:spPr>
                      </pic:pic>
                    </a:graphicData>
                  </a:graphic>
                </wp:inline>
              </w:drawing>
            </w:r>
          </w:p>
        </w:tc>
        <w:tc>
          <w:tcPr>
            <w:tcW w:w="2249" w:type="dxa"/>
          </w:tcPr>
          <w:p w14:paraId="35405F87">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1.关注幼儿游戏中角色扮演具体情况（情感投入、互动关系及使用材料等）；</w:t>
            </w:r>
          </w:p>
          <w:p w14:paraId="42733E9F">
            <w:pPr>
              <w:widowControl/>
              <w:numPr>
                <w:ilvl w:val="0"/>
                <w:numId w:val="0"/>
              </w:numPr>
              <w:spacing w:line="360" w:lineRule="auto"/>
              <w:jc w:val="both"/>
              <w:textAlignment w:val="center"/>
              <w:rPr>
                <w:rFonts w:hint="default" w:ascii="宋体" w:hAnsi="宋体" w:eastAsia="宋体" w:cs="宋体"/>
                <w:b w:val="0"/>
                <w:bCs w:val="0"/>
                <w:color w:val="000000"/>
                <w:kern w:val="0"/>
                <w:sz w:val="21"/>
                <w:szCs w:val="21"/>
                <w:u w:val="none"/>
                <w:vertAlign w:val="baseline"/>
                <w:lang w:val="en-US" w:eastAsia="zh-CN" w:bidi="ar-SA"/>
              </w:rPr>
            </w:pPr>
            <w:r>
              <w:rPr>
                <w:rFonts w:hint="eastAsia" w:ascii="宋体" w:hAnsi="宋体" w:eastAsia="宋体" w:cs="宋体"/>
                <w:b w:val="0"/>
                <w:bCs w:val="0"/>
                <w:color w:val="000000"/>
                <w:kern w:val="0"/>
                <w:sz w:val="21"/>
                <w:szCs w:val="21"/>
                <w:u w:val="none"/>
                <w:vertAlign w:val="baseline"/>
                <w:lang w:val="en-US" w:eastAsia="zh-CN" w:bidi="ar-SA"/>
              </w:rPr>
              <w:t>2.关注幼儿游戏进展（适时介入如游戏停滞、</w:t>
            </w:r>
            <w:r>
              <w:rPr>
                <w:rFonts w:hint="eastAsia" w:ascii="宋体" w:hAnsi="宋体" w:eastAsia="宋体" w:cs="宋体"/>
                <w:b w:val="0"/>
                <w:bCs w:val="0"/>
                <w:color w:val="000000"/>
                <w:kern w:val="0"/>
                <w:sz w:val="21"/>
                <w:szCs w:val="21"/>
                <w:u w:val="none"/>
                <w:vertAlign w:val="baseline"/>
                <w:lang w:val="en-US" w:eastAsia="zh-CN" w:bidi="ar-SA"/>
              </w:rPr>
              <w:t>争抢角色等行为）。</w:t>
            </w:r>
          </w:p>
        </w:tc>
      </w:tr>
    </w:tbl>
    <w:p w14:paraId="27ADBC77">
      <w:pPr>
        <w:widowControl/>
        <w:spacing w:line="360" w:lineRule="auto"/>
        <w:jc w:val="both"/>
        <w:textAlignment w:val="center"/>
        <w:rPr>
          <w:rFonts w:hint="default" w:ascii="宋体" w:hAnsi="宋体" w:eastAsia="宋体" w:cs="宋体"/>
          <w:b w:val="0"/>
          <w:bCs w:val="0"/>
          <w:color w:val="000000"/>
          <w:kern w:val="0"/>
          <w:sz w:val="21"/>
          <w:szCs w:val="21"/>
          <w:u w:val="single"/>
          <w:lang w:val="en-US" w:eastAsia="zh-CN" w:bidi="ar-SA"/>
        </w:rPr>
      </w:pPr>
    </w:p>
    <w:sectPr>
      <w:pgSz w:w="16838" w:h="11906" w:orient="landscape"/>
      <w:pgMar w:top="720" w:right="720" w:bottom="720" w:left="72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6420AD1"/>
    <w:rsid w:val="0EC732F2"/>
    <w:rsid w:val="15D31197"/>
    <w:rsid w:val="162B4B2F"/>
    <w:rsid w:val="16314110"/>
    <w:rsid w:val="17EC6540"/>
    <w:rsid w:val="1D301BFB"/>
    <w:rsid w:val="1D694681"/>
    <w:rsid w:val="2A4E7AC9"/>
    <w:rsid w:val="38C369F1"/>
    <w:rsid w:val="39C72511"/>
    <w:rsid w:val="4A0B1011"/>
    <w:rsid w:val="4CC0176E"/>
    <w:rsid w:val="528A0854"/>
    <w:rsid w:val="5EBD3D5F"/>
    <w:rsid w:val="60297670"/>
    <w:rsid w:val="6A4B66C3"/>
    <w:rsid w:val="72701EDF"/>
    <w:rsid w:val="741E09A4"/>
    <w:rsid w:val="757E1ED2"/>
    <w:rsid w:val="7B75534E"/>
    <w:rsid w:val="7C09018C"/>
    <w:rsid w:val="7C7F3FAA"/>
  </w:rsids>
  <m:mathPr>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宋体"/>
      <w:kern w:val="2"/>
      <w:sz w:val="21"/>
      <w:szCs w:val="22"/>
      <w:lang w:val="en-US" w:eastAsia="zh-CN" w:bidi="ar-SA"/>
    </w:rPr>
  </w:style>
  <w:style w:type="character" w:default="1" w:styleId="7">
    <w:name w:val="Default Paragraph Font"/>
    <w:qFormat/>
    <w:uiPriority w:val="1"/>
  </w:style>
  <w:style w:type="table" w:default="1" w:styleId="5">
    <w:name w:val="Normal Table"/>
    <w:qFormat/>
    <w:uiPriority w:val="99"/>
    <w:tblPr>
      <w:tblCellMar>
        <w:top w:w="0" w:type="dxa"/>
        <w:left w:w="108" w:type="dxa"/>
        <w:bottom w:w="0" w:type="dxa"/>
        <w:right w:w="108" w:type="dxa"/>
      </w:tblCellMar>
    </w:tblPr>
  </w:style>
  <w:style w:type="paragraph" w:styleId="2">
    <w:name w:val="footer"/>
    <w:basedOn w:val="1"/>
    <w:link w:val="10"/>
    <w:qFormat/>
    <w:uiPriority w:val="99"/>
    <w:pPr>
      <w:tabs>
        <w:tab w:val="center" w:pos="4153"/>
        <w:tab w:val="right" w:pos="8306"/>
      </w:tabs>
      <w:snapToGrid w:val="0"/>
      <w:jc w:val="left"/>
    </w:pPr>
    <w:rPr>
      <w:sz w:val="18"/>
      <w:szCs w:val="18"/>
    </w:rPr>
  </w:style>
  <w:style w:type="paragraph" w:styleId="3">
    <w:name w:val="header"/>
    <w:basedOn w:val="1"/>
    <w:link w:val="9"/>
    <w:qFormat/>
    <w:uiPriority w:val="99"/>
    <w:pPr>
      <w:pBdr>
        <w:bottom w:val="single" w:color="auto" w:sz="6" w:space="1"/>
      </w:pBdr>
      <w:tabs>
        <w:tab w:val="center" w:pos="4153"/>
        <w:tab w:val="right" w:pos="8306"/>
      </w:tabs>
      <w:snapToGrid w:val="0"/>
      <w:jc w:val="center"/>
    </w:pPr>
    <w:rPr>
      <w:sz w:val="18"/>
      <w:szCs w:val="18"/>
    </w:rPr>
  </w:style>
  <w:style w:type="paragraph" w:styleId="4">
    <w:name w:val="Normal (Web)"/>
    <w:basedOn w:val="1"/>
    <w:qFormat/>
    <w:uiPriority w:val="99"/>
    <w:pPr>
      <w:spacing w:before="0" w:beforeAutospacing="1" w:after="0" w:afterAutospacing="1"/>
      <w:ind w:left="0" w:right="0"/>
      <w:jc w:val="left"/>
    </w:pPr>
    <w:rPr>
      <w:kern w:val="0"/>
      <w:sz w:val="24"/>
      <w:lang w:val="en-US" w:eastAsia="zh-CN"/>
    </w:rPr>
  </w:style>
  <w:style w:type="table" w:styleId="6">
    <w:name w:val="Table Grid"/>
    <w:basedOn w:val="5"/>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8">
    <w:name w:val="List Paragraph_39c33244-751f-4ccd-a38b-b190c64a355d"/>
    <w:basedOn w:val="1"/>
    <w:qFormat/>
    <w:uiPriority w:val="34"/>
    <w:pPr>
      <w:ind w:firstLine="420" w:firstLineChars="200"/>
    </w:pPr>
  </w:style>
  <w:style w:type="character" w:customStyle="1" w:styleId="9">
    <w:name w:val="页眉 Char"/>
    <w:basedOn w:val="7"/>
    <w:link w:val="3"/>
    <w:qFormat/>
    <w:uiPriority w:val="99"/>
    <w:rPr>
      <w:sz w:val="18"/>
      <w:szCs w:val="18"/>
    </w:rPr>
  </w:style>
  <w:style w:type="character" w:customStyle="1" w:styleId="10">
    <w:name w:val="页脚 Char"/>
    <w:basedOn w:val="7"/>
    <w:link w:val="2"/>
    <w:qFormat/>
    <w:uiPriority w:val="99"/>
    <w:rPr>
      <w:sz w:val="18"/>
      <w:szCs w:val="18"/>
    </w:rPr>
  </w:style>
  <w:style w:type="paragraph" w:styleId="11">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6</Pages>
  <Words>2375</Words>
  <Characters>2411</Characters>
  <Paragraphs>140</Paragraphs>
  <TotalTime>2</TotalTime>
  <ScaleCrop>false</ScaleCrop>
  <LinksUpToDate>false</LinksUpToDate>
  <CharactersWithSpaces>2435</CharactersWithSpaces>
  <Application>WPS Office_12.1.0.21171_F1E327BC-269C-435d-A152-05C5408002CA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2025-01-11T16:42:00Z</dcterms:created>
  <dc:creator>Dell</dc:creator>
  <cp:lastModifiedBy>茜茜小公猪</cp:lastModifiedBy>
  <cp:lastPrinted>2025-06-09T09:21:50Z</cp:lastPrinted>
  <dcterms:modified xsi:type="dcterms:W3CDTF">2025-06-09T10:12:52Z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8e308239a9884dd8b4e60ad02141d4e5_23</vt:lpwstr>
  </property>
  <property fmtid="{D5CDD505-2E9C-101B-9397-08002B2CF9AE}" pid="4" name="KSOTemplateDocerSaveRecord">
    <vt:lpwstr>eyJoZGlkIjoiZmJiYjliYjJlNDEwYWY3NDY2MTYzZmY4NzY5MjllNWYiLCJ1c2VySWQiOiIyMDQxMTg4OCJ9</vt:lpwstr>
  </property>
</Properties>
</file>