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0524">
      <w:pPr>
        <w:spacing w:line="258" w:lineRule="auto"/>
        <w:rPr>
          <w:rFonts w:ascii="Arial"/>
          <w:sz w:val="21"/>
        </w:rPr>
      </w:pPr>
    </w:p>
    <w:p w14:paraId="4FA8E4C6">
      <w:pPr>
        <w:spacing w:line="259" w:lineRule="auto"/>
        <w:rPr>
          <w:rFonts w:ascii="Arial"/>
          <w:sz w:val="21"/>
        </w:rPr>
      </w:pPr>
    </w:p>
    <w:p w14:paraId="666A23CA">
      <w:pPr>
        <w:spacing w:line="259" w:lineRule="auto"/>
        <w:rPr>
          <w:rFonts w:ascii="Arial"/>
          <w:sz w:val="21"/>
        </w:rPr>
      </w:pPr>
    </w:p>
    <w:p w14:paraId="1AB6DED6">
      <w:pPr>
        <w:pStyle w:val="2"/>
        <w:spacing w:before="143" w:line="242" w:lineRule="auto"/>
        <w:ind w:left="3334" w:right="2036" w:hanging="690"/>
        <w:outlineLvl w:val="0"/>
        <w:rPr>
          <w:sz w:val="44"/>
          <w:szCs w:val="44"/>
        </w:rPr>
      </w:pPr>
      <w:r>
        <w:rPr>
          <w:color w:val="231F20"/>
          <w:spacing w:val="1"/>
          <w:sz w:val="44"/>
          <w:szCs w:val="44"/>
        </w:rPr>
        <w:t>“教学做合一”：让数学实验</w:t>
      </w:r>
      <w:r>
        <w:rPr>
          <w:color w:val="231F20"/>
          <w:sz w:val="44"/>
          <w:szCs w:val="44"/>
        </w:rPr>
        <w:t xml:space="preserve"> </w:t>
      </w:r>
      <w:r>
        <w:rPr>
          <w:color w:val="231F20"/>
          <w:spacing w:val="-2"/>
          <w:sz w:val="44"/>
          <w:szCs w:val="44"/>
        </w:rPr>
        <w:t>助力生本量感思维进阶</w:t>
      </w:r>
    </w:p>
    <w:p w14:paraId="2F07A833">
      <w:pPr>
        <w:spacing w:line="275" w:lineRule="auto"/>
        <w:rPr>
          <w:rFonts w:ascii="Arial"/>
          <w:sz w:val="21"/>
        </w:rPr>
      </w:pPr>
    </w:p>
    <w:p w14:paraId="1DE39ABB">
      <w:pPr>
        <w:pStyle w:val="2"/>
        <w:spacing w:before="72" w:line="222" w:lineRule="auto"/>
        <w:ind w:left="3728"/>
        <w:rPr>
          <w:rFonts w:ascii="楷体" w:hAnsi="楷体" w:eastAsia="楷体" w:cs="楷体"/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□</w:t>
      </w:r>
      <w:r>
        <w:rPr>
          <w:color w:val="231F20"/>
          <w:spacing w:val="14"/>
          <w:sz w:val="22"/>
          <w:szCs w:val="22"/>
        </w:rPr>
        <w:t xml:space="preserve">   </w:t>
      </w:r>
      <w:r>
        <w:rPr>
          <w:rFonts w:ascii="楷体" w:hAnsi="楷体" w:eastAsia="楷体" w:cs="楷体"/>
          <w:color w:val="231F20"/>
          <w:spacing w:val="-4"/>
          <w:sz w:val="22"/>
          <w:szCs w:val="22"/>
        </w:rPr>
        <w:t>江苏省扬州市育才小学  王</w:t>
      </w:r>
      <w:r>
        <w:rPr>
          <w:rFonts w:ascii="楷体" w:hAnsi="楷体" w:eastAsia="楷体" w:cs="楷体"/>
          <w:color w:val="231F20"/>
          <w:spacing w:val="4"/>
          <w:sz w:val="22"/>
          <w:szCs w:val="22"/>
        </w:rPr>
        <w:t xml:space="preserve">  </w:t>
      </w:r>
      <w:r>
        <w:rPr>
          <w:rFonts w:ascii="楷体" w:hAnsi="楷体" w:eastAsia="楷体" w:cs="楷体"/>
          <w:color w:val="231F20"/>
          <w:spacing w:val="-4"/>
          <w:sz w:val="22"/>
          <w:szCs w:val="22"/>
        </w:rPr>
        <w:t>菁</w:t>
      </w:r>
    </w:p>
    <w:p w14:paraId="0D05CFCA">
      <w:pPr>
        <w:spacing w:line="333" w:lineRule="auto"/>
        <w:rPr>
          <w:rFonts w:ascii="Arial"/>
          <w:sz w:val="21"/>
        </w:rPr>
      </w:pPr>
    </w:p>
    <w:p w14:paraId="17285804">
      <w:pPr>
        <w:spacing w:before="68" w:line="226" w:lineRule="auto"/>
        <w:ind w:left="704" w:right="74" w:firstLine="305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摘要】小学数学实验具有直观性、推理性和可操作性，教</w:t>
      </w:r>
      <w:r>
        <w:rPr>
          <w:rFonts w:ascii="楷体" w:hAnsi="楷体" w:eastAsia="楷体" w:cs="楷体"/>
          <w:color w:val="231F20"/>
          <w:sz w:val="21"/>
          <w:szCs w:val="21"/>
        </w:rPr>
        <w:t>师围绕学生量感思维认知成长设计数学实 验，组织学生进行数学实验操作和分析，不仅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能够实现数学概念原理的验证，还能够有效激活学生数学思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维，促进学生数学综合能力的成长。整合数学实验资源、优化数学实验组织、创新数学实验评价，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教师以数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学实验为载体，启迪学生数学量感思维，促进学生学科核心能力的培养。</w:t>
      </w:r>
    </w:p>
    <w:p w14:paraId="682DB3A2">
      <w:pPr>
        <w:spacing w:before="8" w:line="225" w:lineRule="auto"/>
        <w:ind w:left="100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1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关键词】小学数学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；“</w:t>
      </w:r>
      <w:r>
        <w:rPr>
          <w:rFonts w:ascii="楷体" w:hAnsi="楷体" w:eastAsia="楷体" w:cs="楷体"/>
          <w:color w:val="231F20"/>
          <w:spacing w:val="-7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教学做合一”；实验</w:t>
      </w:r>
      <w:r>
        <w:rPr>
          <w:rFonts w:ascii="楷体" w:hAnsi="楷体" w:eastAsia="楷体" w:cs="楷体"/>
          <w:color w:val="231F20"/>
          <w:spacing w:val="-5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；量感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1"/>
          <w:sz w:val="21"/>
          <w:szCs w:val="21"/>
        </w:rPr>
        <w:t>；思维进阶</w:t>
      </w:r>
    </w:p>
    <w:p w14:paraId="39257E76">
      <w:pPr>
        <w:spacing w:before="106"/>
      </w:pPr>
    </w:p>
    <w:p w14:paraId="66C58508">
      <w:pPr>
        <w:sectPr>
          <w:headerReference r:id="rId5" w:type="default"/>
          <w:pgSz w:w="12076" w:h="16498"/>
          <w:pgMar w:top="1372" w:right="1228" w:bottom="0" w:left="432" w:header="1113" w:footer="0" w:gutter="0"/>
          <w:cols w:equalWidth="0" w:num="1">
            <w:col w:w="10415"/>
          </w:cols>
        </w:sectPr>
      </w:pPr>
    </w:p>
    <w:p w14:paraId="3DFCAFBF">
      <w:pPr>
        <w:pStyle w:val="2"/>
        <w:spacing w:before="48" w:line="270" w:lineRule="auto"/>
        <w:ind w:left="708" w:right="189" w:firstLine="433"/>
        <w:jc w:val="both"/>
      </w:pPr>
      <w:r>
        <w:rPr>
          <w:color w:val="231F20"/>
          <w:spacing w:val="-9"/>
        </w:rPr>
        <w:t>陶行知先生的“教学做合一”思想，与数学实验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7"/>
        </w:rPr>
        <w:t>教学高度契合，强调数学知识需要通过实践构建。生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活即教育理念打破数学与生活的割裂，要求数学教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学以现实问题为起点，通过实践体验理解数学抽象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概念。所谓量感，是指对物体可测量属性，包括物体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的大小、重量、速度等直观感知的能力，这是数学学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科重要概念。教师围绕学生量感思维展开数学实验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设计和组织，让学生在数学实验中感知数学量感，不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仅能够提升教学品质，还能够培养学生数学学习习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惯，激活学生数学思维。教师整合数学实验资源、优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化数学实验组织、创新数学实验评价，能够有效锚定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量感培养指向、赋能量感多元发展、促进学生量感思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维的顺利进阶，培养学生数学学科核心能力。</w:t>
      </w:r>
    </w:p>
    <w:p w14:paraId="76FF7B84">
      <w:pPr>
        <w:spacing w:before="31" w:line="213" w:lineRule="auto"/>
        <w:ind w:left="113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0"/>
          <w:sz w:val="21"/>
          <w:szCs w:val="21"/>
        </w:rPr>
        <w:t>一、整合数学实验资源，锚定量感培养指向</w:t>
      </w:r>
    </w:p>
    <w:p w14:paraId="16984ABB">
      <w:pPr>
        <w:spacing w:before="68" w:line="225" w:lineRule="auto"/>
        <w:ind w:left="114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精选量感实验内容</w:t>
      </w:r>
    </w:p>
    <w:p w14:paraId="4A0A7D5E">
      <w:pPr>
        <w:pStyle w:val="2"/>
        <w:spacing w:before="49" w:line="270" w:lineRule="auto"/>
        <w:ind w:left="709" w:right="189" w:firstLine="426"/>
      </w:pPr>
      <w:r>
        <w:rPr>
          <w:color w:val="231F20"/>
          <w:spacing w:val="2"/>
        </w:rPr>
        <w:t>小学数学量感主要是指物体的长度、面积、体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6"/>
        </w:rPr>
        <w:t>积、时间、质量、大小、轻重等，这些内容在数学教材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7"/>
        </w:rPr>
        <w:t>中广泛存在，关涉量感的数学实验也极为丰富，教师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要深潜教材之中，深入研究数学实验资源，还要对学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生数学学力基础、接受能力、数学感悟、学习兴趣取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向等学情有客观分析，以提升数学实验资源整合的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针对性、适配性，为不同群体准备不同的数学实验任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务，以顺利激活学生量感数学思维，让学生在数学实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验操作中感知数学量感，形成数学知识体系。</w:t>
      </w:r>
    </w:p>
    <w:p w14:paraId="17DB8C78">
      <w:pPr>
        <w:pStyle w:val="2"/>
        <w:spacing w:before="29" w:line="258" w:lineRule="auto"/>
        <w:ind w:left="709" w:right="133" w:firstLine="424"/>
      </w:pPr>
      <w:r>
        <w:rPr>
          <w:color w:val="231F20"/>
          <w:spacing w:val="2"/>
        </w:rPr>
        <w:t>如教学苏教版小学五年级数学上册“多边形的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面积”，多边形是几何学中重要内容，计算其面积是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最常见的任务，多边形包括三角形、四边形、五边形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等多种形式，面积计算公式有关联也有区别，教师深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入研究多边形特点，与学生一起推导面积计算公式，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能够理清数学原理，也能够激发学生学习数学的积</w:t>
      </w:r>
    </w:p>
    <w:p w14:paraId="01B9368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572FD7">
      <w:pPr>
        <w:pStyle w:val="2"/>
        <w:spacing w:before="36" w:line="271" w:lineRule="auto"/>
        <w:ind w:firstLine="3"/>
        <w:jc w:val="both"/>
      </w:pPr>
      <w:r>
        <w:rPr>
          <w:color w:val="231F20"/>
          <w:spacing w:val="-4"/>
        </w:rPr>
        <w:t>极性。教师先介绍多边形的基本概念，包括边、角、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顶点等，分析多边形面积计算方法在生活中的运用，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然后让学生利用直尺、量角器、三角板等工具，测量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多边形的边长、高、底边、角等数据，根据现成的面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积计算公式，计算多边形的面积。如三角形数据测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量，教师设计测量任务，并提醒学生要注意减少测量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误差，通过测量操作，对三角形的边、角等特点有更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清晰的印象，在具体观察、操作中获得数据。这些测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量操作本身具有数学实验的基本特征，教师先引导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学生了解多边形的概念和特点，然后投放测量实验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任务，学生利用现成的测量工具展开实验操作，利用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数学面积公式进行计算操作，获得实验结论数据，其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量感认知逐渐形成。在这个数学实验任务设计时，教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师精选实验内容，成功调动学生数学思维，学生数学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感知体验更为深刻而丰富。</w:t>
      </w:r>
    </w:p>
    <w:p w14:paraId="2FFA31C6">
      <w:pPr>
        <w:spacing w:before="29" w:line="225" w:lineRule="auto"/>
        <w:ind w:left="42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5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确定量感培养目标</w:t>
      </w:r>
    </w:p>
    <w:p w14:paraId="5219E9D5">
      <w:pPr>
        <w:pStyle w:val="2"/>
        <w:spacing w:before="50" w:line="270" w:lineRule="auto"/>
        <w:ind w:right="1" w:firstLine="421"/>
      </w:pPr>
      <w:r>
        <w:rPr>
          <w:color w:val="231F20"/>
          <w:spacing w:val="-5"/>
        </w:rPr>
        <w:t>量感是通过人们视觉、触觉感知对物体的规模、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6"/>
        </w:rPr>
        <w:t>速度、程度、大小、长短、轻重、快慢的感性认知，教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2"/>
        </w:rPr>
        <w:t>师在数学实验方案设计时，要注意理清数学实验达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成目标，特别是学生量感认知的设定，要符合学生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学力现实。数学实验方案设计要有清晰具体的操作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程序，还要设定层次性学习目标，确保实验的顺利推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进，为不同群体学生创造数学学习体验的机会。数学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实验任务设计，教师要做好生活对接，对学生生活实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践情况有客观分析，提升数学实验设计的适合性。</w:t>
      </w:r>
    </w:p>
    <w:p w14:paraId="3C46E6C6">
      <w:pPr>
        <w:pStyle w:val="2"/>
        <w:spacing w:before="30" w:line="255" w:lineRule="auto"/>
        <w:ind w:left="1" w:right="74" w:firstLine="423"/>
      </w:pPr>
      <w:r>
        <w:rPr>
          <w:color w:val="231F20"/>
          <w:spacing w:val="-8"/>
        </w:rPr>
        <w:t>如教学“统计表和条形统计图（二）”这部分内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容涉及数据统计，教师设计数据的收集、整合和描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述等数学实验任务，让学生在数学实验中建立数据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认知。数据统计与学生生活密切衔接，教师在数学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实验任务设计时，要做好必要的学情分析。如本班</w:t>
      </w:r>
    </w:p>
    <w:p w14:paraId="7DDF854A">
      <w:pPr>
        <w:spacing w:line="255" w:lineRule="auto"/>
        <w:sectPr>
          <w:type w:val="continuous"/>
          <w:pgSz w:w="12076" w:h="16498"/>
          <w:pgMar w:top="1372" w:right="1228" w:bottom="0" w:left="432" w:header="1113" w:footer="0" w:gutter="0"/>
          <w:cols w:equalWidth="0" w:num="2">
            <w:col w:w="5569" w:space="100"/>
            <w:col w:w="4746"/>
          </w:cols>
        </w:sectPr>
      </w:pPr>
    </w:p>
    <w:p w14:paraId="3A11E8CA">
      <w:pPr>
        <w:spacing w:line="275" w:lineRule="auto"/>
        <w:rPr>
          <w:rFonts w:ascii="Arial"/>
          <w:sz w:val="21"/>
        </w:rPr>
      </w:pPr>
    </w:p>
    <w:p w14:paraId="1535B2D1">
      <w:pPr>
        <w:pStyle w:val="2"/>
        <w:spacing w:before="65" w:line="181" w:lineRule="auto"/>
        <w:ind w:left="10146"/>
        <w:rPr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49</w:t>
      </w:r>
    </w:p>
    <w:p w14:paraId="50FE1333">
      <w:pPr>
        <w:spacing w:before="10" w:line="240" w:lineRule="exact"/>
        <w:rPr>
          <w:rFonts w:ascii="Arial" w:hAnsi="Arial" w:eastAsia="Arial" w:cs="Arial"/>
          <w:sz w:val="22"/>
          <w:szCs w:val="22"/>
        </w:rPr>
      </w:pPr>
      <w:r>
        <w:pict>
          <v:shape id="_x0000_s1026" o:spid="_x0000_s1026" style="position:absolute;left:0pt;margin-left:46.4pt;margin-top:10.5pt;height:0pt;width:0pt;z-index:251659264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999999"/>
          <w:spacing w:val="4"/>
          <w:sz w:val="22"/>
          <w:szCs w:val="22"/>
        </w:rPr>
        <w:t>中国知网</w:t>
      </w:r>
      <w:r>
        <w:rPr>
          <w:rFonts w:ascii="微软雅黑" w:hAnsi="微软雅黑" w:eastAsia="微软雅黑" w:cs="微软雅黑"/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3D788134">
      <w:pPr>
        <w:spacing w:line="240" w:lineRule="exact"/>
        <w:rPr>
          <w:rFonts w:ascii="Arial" w:hAnsi="Arial" w:eastAsia="Arial" w:cs="Arial"/>
          <w:sz w:val="22"/>
          <w:szCs w:val="22"/>
        </w:rPr>
        <w:sectPr>
          <w:type w:val="continuous"/>
          <w:pgSz w:w="12076" w:h="16498"/>
          <w:pgMar w:top="1372" w:right="1228" w:bottom="0" w:left="432" w:header="1113" w:footer="0" w:gutter="0"/>
          <w:cols w:equalWidth="0" w:num="1">
            <w:col w:w="10415"/>
          </w:cols>
        </w:sectPr>
      </w:pPr>
    </w:p>
    <w:p w14:paraId="328C7FD2">
      <w:pPr>
        <w:spacing w:before="80"/>
      </w:pPr>
    </w:p>
    <w:p w14:paraId="201F6C84">
      <w:pPr>
        <w:sectPr>
          <w:headerReference r:id="rId6" w:type="default"/>
          <w:pgSz w:w="12076" w:h="16498"/>
          <w:pgMar w:top="1445" w:right="1026" w:bottom="0" w:left="432" w:header="1116" w:footer="0" w:gutter="0"/>
          <w:cols w:equalWidth="0" w:num="1">
            <w:col w:w="10617"/>
          </w:cols>
        </w:sectPr>
      </w:pPr>
    </w:p>
    <w:p w14:paraId="53CF404C">
      <w:pPr>
        <w:pStyle w:val="2"/>
        <w:spacing w:before="39" w:line="271" w:lineRule="auto"/>
        <w:ind w:left="878" w:right="116" w:firstLine="5"/>
        <w:jc w:val="both"/>
      </w:pPr>
      <w:r>
        <w:rPr>
          <w:color w:val="231F20"/>
          <w:spacing w:val="2"/>
        </w:rPr>
        <w:t>级同学兴趣调查实验任务，教师要求学生深入到班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级之中，通过采访、询问等手段，调查每一个兴趣小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组学生占比，还有男女生性别占比等。学生接受数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学实验任务后，都能够积极行动起来，课堂学习气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氛活跃起来。教师跟进观察学生实验表现，发现问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>题及时解决，为学生顺利搜集数据信息保驾护航。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"/>
        </w:rPr>
        <w:t>经过一番操作，学生大多顺利拿到调查数据，教师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2"/>
        </w:rPr>
        <w:t>组织学生进入集体展评环节，统计学生的调查数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据，要求学生介绍调查经历，对调查数据的真实性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进行解析，实验进入讨论评价环节。统计表需要数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据的支持，条形统计图需要数据表，教师先期组织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>学生搜集数据，这是典型的数学实验设计和组织，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"/>
        </w:rPr>
        <w:t>学生有明确的实验目的，深入到班级，展开数据采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集活动，课堂学习气氛活跃起来，数学实验活动推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进顺利。数据搜集整合中，学生对数据的感知更为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立体，量感认知不断丰满起来。</w:t>
      </w:r>
    </w:p>
    <w:p w14:paraId="7C601426">
      <w:pPr>
        <w:spacing w:before="30" w:line="213" w:lineRule="auto"/>
        <w:ind w:left="130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二、优化数学实验组织，赋能量感多元发展</w:t>
      </w:r>
    </w:p>
    <w:p w14:paraId="0CA7F0BF">
      <w:pPr>
        <w:spacing w:before="67" w:line="230" w:lineRule="auto"/>
        <w:ind w:left="131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3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组织量感实验活动</w:t>
      </w:r>
    </w:p>
    <w:p w14:paraId="46D57E82">
      <w:pPr>
        <w:pStyle w:val="2"/>
        <w:spacing w:before="53" w:line="269" w:lineRule="auto"/>
        <w:ind w:left="879" w:right="133" w:firstLine="422"/>
      </w:pPr>
      <w:r>
        <w:rPr>
          <w:color w:val="231F20"/>
          <w:spacing w:val="2"/>
        </w:rPr>
        <w:t>数学实验活动组织时，教师要先期研究实验操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作方法，理顺实验推理程序，还要对实验原理进行专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业分析，以便提出符合的实验要求，确保实验的顺利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展开。数学实验可以是独立观察、独立操作，还可以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是集体协作和互动，教师精心选择实验方案内容，规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划清晰操作程序，还要针对学生实验学力基础，给予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学生以学法支持，或者是组织学生进入实验学法分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享活动，让学生在集体展示和交流中积累实验学法，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促进学生量感认知的顺利内化。</w:t>
      </w:r>
    </w:p>
    <w:p w14:paraId="12A26917">
      <w:pPr>
        <w:pStyle w:val="2"/>
        <w:spacing w:before="38" w:line="267" w:lineRule="auto"/>
        <w:ind w:left="879" w:right="131" w:firstLine="424"/>
      </w:pPr>
      <w:r>
        <w:rPr>
          <w:color w:val="231F20"/>
          <w:spacing w:val="-8"/>
        </w:rPr>
        <w:t>如教学“用字母表示数”，教师要将直观符号信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息转化为抽象实验操作，需要明白字母表示数的底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层逻辑。在具体设计时，教师先投放实验目标，</w:t>
      </w:r>
      <w:r>
        <w:rPr>
          <w:color w:val="231F20"/>
          <w:spacing w:val="-8"/>
        </w:rPr>
        <w:t>通过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生活化情境，理解字母表示数的方式和方法，体会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代数式表达的简洁性，让学生经历具体到抽象的认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知过程。实验材料为扑克牌、青蛙模型、存钱罐</w:t>
      </w:r>
      <w:r>
        <w:rPr>
          <w:color w:val="231F20"/>
          <w:spacing w:val="-8"/>
        </w:rPr>
        <w:t>道具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等。实验流程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0"/>
        </w:rPr>
        <w:t>：其一，生活情境导入，利用扑克牌揭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示字母表示数的奥秘。其二，数量关系抽象解读</w:t>
      </w:r>
      <w:r>
        <w:rPr>
          <w:color w:val="231F20"/>
          <w:spacing w:val="-8"/>
        </w:rPr>
        <w:t>，通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过摇晃存钱罐，猜测其金额，解读字母与金钱的对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应关系。其三，规律符合化，通过编辑青蛙儿歌，利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用火柴棒设计挑战游戏，完成数学实验操作。这个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实验环节完整，每一个环节都带有操作性、对应性，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"/>
        </w:rPr>
        <w:t>学生进入实验操作环节，对实验内在逻辑有清晰认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识，量感也在形成之中。教师设计数学实验任务</w:t>
      </w:r>
      <w:r>
        <w:rPr>
          <w:color w:val="231F20"/>
          <w:spacing w:val="-8"/>
        </w:rPr>
        <w:t>，与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学生一起展开实验操作，集体分析实验原理，让学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生对字母表示数有深刻理解，学生数学量感认知不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断丰富起来。小学生数学实验操作能力比较有限，</w:t>
      </w:r>
    </w:p>
    <w:p w14:paraId="01C3102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B219ED6">
      <w:pPr>
        <w:pStyle w:val="2"/>
        <w:spacing w:before="40" w:line="266" w:lineRule="auto"/>
        <w:ind w:right="106" w:firstLine="4"/>
        <w:jc w:val="both"/>
      </w:pPr>
      <w:r>
        <w:rPr>
          <w:color w:val="231F20"/>
          <w:spacing w:val="2"/>
        </w:rPr>
        <w:t>教师注重师生互动，为学生展开实验操作提供助力 支持，成功调动学生实验主动性。实验教学顺利推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进，课堂教学品质有保障，学生数学综合能力获得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成长的力量。</w:t>
      </w:r>
    </w:p>
    <w:p w14:paraId="26DDB316">
      <w:pPr>
        <w:spacing w:before="29" w:line="225" w:lineRule="auto"/>
        <w:ind w:left="420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强化量感学习体验</w:t>
      </w:r>
    </w:p>
    <w:p w14:paraId="7C6380C6">
      <w:pPr>
        <w:pStyle w:val="2"/>
        <w:spacing w:before="59" w:line="269" w:lineRule="auto"/>
        <w:ind w:right="48" w:firstLine="420"/>
      </w:pPr>
      <w:r>
        <w:rPr>
          <w:color w:val="231F20"/>
          <w:spacing w:val="5"/>
        </w:rPr>
        <w:t>量感是一种由表象到内质的数学感知和体验，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教师在数学实验设计和组织环节，要注意分析数学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实验的操作原理，也要对学生数学学科知识储备情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况进行客观判断，进而搭建从理论到实践的桥梁，帮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助学生顺利完成数学认知到数学能力的转化。数学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实验大多具有直观性、操作性、推理性，教师不仅要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在操作方法上给予学生一些支持，还要组织学生进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行实验推理，让学生主动分析实验原理，自然建立数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学量感认知，进而形成数学学科核心能力。</w:t>
      </w:r>
    </w:p>
    <w:p w14:paraId="12CE7788">
      <w:pPr>
        <w:pStyle w:val="2"/>
        <w:spacing w:before="43" w:line="271" w:lineRule="auto"/>
        <w:ind w:right="32" w:firstLine="425"/>
      </w:pPr>
      <w:r>
        <w:rPr>
          <w:color w:val="231F20"/>
          <w:spacing w:val="2"/>
        </w:rPr>
        <w:t>学生对数学实验有不同期待，教师在组织实验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操作时，要关注学生实验表现，如果有需要，还要与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学生展开多重互动，在充分讨论基础上达成学习共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识，以促进学生学科思维的形成，以及数学量感认知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的打造。如教学五年级数学下册“简易方程”，教师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先解读等式的性质，然后引入方程的概念，与等式进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行深度对比，让学生对方程概念有清晰认知。为强化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学生数学量感认知的形成，教师设计数学实验任务：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利用天平或者自制简易天平，测量一些物品，根据未</w:t>
      </w:r>
      <w:r>
        <w:rPr>
          <w:color w:val="231F20"/>
        </w:rPr>
        <w:t xml:space="preserve"> 知数计算这些物品的真实质量。实验器材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：</w:t>
      </w:r>
      <w:r>
        <w:rPr>
          <w:color w:val="231F20"/>
          <w:spacing w:val="-1"/>
        </w:rPr>
        <w:t>电子天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平，或者是自制简易天平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6"/>
        </w:rPr>
        <w:t>；标准砝码、空白的卡片、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实验记录单等。实验流程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0"/>
        </w:rPr>
        <w:t>：第一阶段，先验证等式性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质，利用天平测量未知卡片的质量。第二阶段，实际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问题建模，依据标准砝码和未知物品，测量指定物品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的质量，涉及到未知数，需要借助方程进行解析和计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算，第三阶段，实验评价，进入误差分析环节，实验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以学习小组为单位展开，学生都有参与的机会，自然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也有实验反思综合的权利，教师引导学生对实验数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据进行分析和计算，对天平使用方法有更多了解，对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数学实验操作有更深刻的认知。特别是减少实验误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差问题，这是学生比较关注的问题，教师能够与学生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展开多重互动，寻找解决问题的方法，这是典型的思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维进阶训练。学生通过实验讨论和反思，不仅能够自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然地建立数学数感和量感，还能够培养其良好学习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9"/>
        </w:rPr>
        <w:t>习惯。</w:t>
      </w:r>
    </w:p>
    <w:p w14:paraId="2246B5F7">
      <w:pPr>
        <w:spacing w:before="31" w:line="213" w:lineRule="auto"/>
        <w:ind w:left="425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9"/>
          <w:sz w:val="21"/>
          <w:szCs w:val="21"/>
        </w:rPr>
        <w:t>三、创新数学实验评价，促进量感思维进阶</w:t>
      </w:r>
    </w:p>
    <w:p w14:paraId="456950AE">
      <w:pPr>
        <w:spacing w:before="68" w:line="223" w:lineRule="auto"/>
        <w:ind w:left="432"/>
        <w:outlineLvl w:val="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创新量感实验评价</w:t>
      </w:r>
    </w:p>
    <w:p w14:paraId="3C3A3C5C">
      <w:pPr>
        <w:pStyle w:val="2"/>
        <w:spacing w:before="57" w:line="243" w:lineRule="auto"/>
        <w:ind w:right="106" w:firstLine="423"/>
        <w:jc w:val="both"/>
      </w:pPr>
      <w:r>
        <w:rPr>
          <w:color w:val="231F20"/>
          <w:spacing w:val="2"/>
        </w:rPr>
        <w:t>数学实验结束后，教师要注意对数学实验结论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进行分析，组织学生展开实验学习反思和讨论，让学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生在数学实验总结中建立数学量感认知，培养学生</w:t>
      </w:r>
    </w:p>
    <w:p w14:paraId="0C684B14">
      <w:pPr>
        <w:spacing w:line="243" w:lineRule="auto"/>
        <w:sectPr>
          <w:type w:val="continuous"/>
          <w:pgSz w:w="12076" w:h="16498"/>
          <w:pgMar w:top="1445" w:right="1026" w:bottom="0" w:left="432" w:header="1116" w:footer="0" w:gutter="0"/>
          <w:cols w:equalWidth="0" w:num="2">
            <w:col w:w="5740" w:space="100"/>
            <w:col w:w="4778"/>
          </w:cols>
        </w:sectPr>
      </w:pPr>
    </w:p>
    <w:p w14:paraId="2C4D45DC">
      <w:pPr>
        <w:pStyle w:val="2"/>
        <w:spacing w:before="299" w:line="183" w:lineRule="auto"/>
        <w:ind w:left="872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50</w:t>
      </w:r>
    </w:p>
    <w:p w14:paraId="5AFBB650">
      <w:pPr>
        <w:spacing w:before="51" w:line="240" w:lineRule="exact"/>
        <w:rPr>
          <w:rFonts w:ascii="Arial" w:hAnsi="Arial" w:eastAsia="Arial" w:cs="Arial"/>
          <w:sz w:val="22"/>
          <w:szCs w:val="22"/>
        </w:rPr>
      </w:pPr>
      <w:r>
        <w:pict>
          <v:shape id="_x0000_s1027" o:spid="_x0000_s1027" style="position:absolute;left:0pt;margin-left:46.4pt;margin-top:12.5pt;height:0pt;width:0pt;z-index:-251656192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999999"/>
          <w:spacing w:val="4"/>
          <w:sz w:val="22"/>
          <w:szCs w:val="22"/>
        </w:rPr>
        <w:t>中国知网</w:t>
      </w:r>
      <w:r>
        <w:rPr>
          <w:rFonts w:ascii="微软雅黑" w:hAnsi="微软雅黑" w:eastAsia="微软雅黑" w:cs="微软雅黑"/>
          <w:color w:val="999999"/>
          <w:spacing w:val="10"/>
          <w:sz w:val="22"/>
          <w:szCs w:val="22"/>
        </w:rPr>
        <w:t xml:space="preserve">     </w:t>
      </w:r>
      <w:r>
        <w:rPr>
          <w:rFonts w:ascii="Arial" w:hAnsi="Arial" w:eastAsia="Arial" w:cs="Arial"/>
          <w:color w:val="999999"/>
          <w:sz w:val="22"/>
          <w:szCs w:val="22"/>
        </w:rPr>
        <w:t>https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 xml:space="preserve"> : //</w:t>
      </w:r>
      <w:r>
        <w:rPr>
          <w:rFonts w:ascii="Arial" w:hAnsi="Arial" w:eastAsia="Arial" w:cs="Arial"/>
          <w:color w:val="999999"/>
          <w:sz w:val="22"/>
          <w:szCs w:val="22"/>
        </w:rPr>
        <w:t>www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.</w:t>
      </w:r>
      <w:r>
        <w:rPr>
          <w:rFonts w:ascii="Arial" w:hAnsi="Arial" w:eastAsia="Arial" w:cs="Arial"/>
          <w:color w:val="999999"/>
          <w:spacing w:val="37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c</w:t>
      </w:r>
      <w:r>
        <w:rPr>
          <w:rFonts w:ascii="Arial" w:hAnsi="Arial" w:eastAsia="Arial" w:cs="Arial"/>
          <w:color w:val="999999"/>
          <w:spacing w:val="-20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nk</w:t>
      </w:r>
      <w:r>
        <w:rPr>
          <w:rFonts w:ascii="Arial" w:hAnsi="Arial" w:eastAsia="Arial" w:cs="Arial"/>
          <w:color w:val="999999"/>
          <w:spacing w:val="4"/>
          <w:sz w:val="22"/>
          <w:szCs w:val="22"/>
        </w:rPr>
        <w:t>:i.</w:t>
      </w:r>
      <w:r>
        <w:rPr>
          <w:rFonts w:ascii="Arial" w:hAnsi="Arial" w:eastAsia="Arial" w:cs="Arial"/>
          <w:color w:val="999999"/>
          <w:spacing w:val="19"/>
          <w:sz w:val="22"/>
          <w:szCs w:val="22"/>
        </w:rPr>
        <w:t xml:space="preserve"> </w:t>
      </w:r>
      <w:r>
        <w:rPr>
          <w:rFonts w:ascii="Arial" w:hAnsi="Arial" w:eastAsia="Arial" w:cs="Arial"/>
          <w:color w:val="999999"/>
          <w:sz w:val="22"/>
          <w:szCs w:val="22"/>
        </w:rPr>
        <w:t>net</w:t>
      </w:r>
    </w:p>
    <w:p w14:paraId="20B11F83">
      <w:pPr>
        <w:spacing w:line="240" w:lineRule="exact"/>
        <w:rPr>
          <w:rFonts w:ascii="Arial" w:hAnsi="Arial" w:eastAsia="Arial" w:cs="Arial"/>
          <w:sz w:val="22"/>
          <w:szCs w:val="22"/>
        </w:rPr>
        <w:sectPr>
          <w:type w:val="continuous"/>
          <w:pgSz w:w="12076" w:h="16498"/>
          <w:pgMar w:top="1445" w:right="1026" w:bottom="0" w:left="432" w:header="1116" w:footer="0" w:gutter="0"/>
          <w:cols w:equalWidth="0" w:num="1">
            <w:col w:w="10617"/>
          </w:cols>
        </w:sectPr>
      </w:pPr>
    </w:p>
    <w:p w14:paraId="245D1B4D">
      <w:pPr>
        <w:spacing w:before="153"/>
      </w:pPr>
    </w:p>
    <w:p w14:paraId="4706442C">
      <w:pPr>
        <w:sectPr>
          <w:headerReference r:id="rId7" w:type="default"/>
          <w:pgSz w:w="12076" w:h="16498"/>
          <w:pgMar w:top="1372" w:right="1095" w:bottom="0" w:left="432" w:header="1113" w:footer="0" w:gutter="0"/>
          <w:cols w:equalWidth="0" w:num="1">
            <w:col w:w="10549"/>
          </w:cols>
        </w:sectPr>
      </w:pPr>
    </w:p>
    <w:p w14:paraId="4D64903D">
      <w:pPr>
        <w:pStyle w:val="2"/>
        <w:spacing w:before="43" w:line="268" w:lineRule="auto"/>
        <w:ind w:left="709" w:right="186" w:firstLine="34"/>
        <w:jc w:val="both"/>
      </w:pPr>
      <w:r>
        <w:rPr>
          <w:color w:val="231F20"/>
          <w:spacing w:val="-9"/>
        </w:rPr>
        <w:t>良好数学学习思维习惯。数学实验评价方式众多，教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师要有创新设计的意识，以顺利调动学生实验评价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的积极性，让学生在独立思考、互动交流、专业讨论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中完成数学认知的顺利内化。量感是数学实验目标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设定的核心内容，教师要关注学生实验操作整个过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程，还要关注学生实验结论的落实。</w:t>
      </w:r>
    </w:p>
    <w:p w14:paraId="67F0EE0A">
      <w:pPr>
        <w:pStyle w:val="2"/>
        <w:spacing w:before="38" w:line="271" w:lineRule="auto"/>
        <w:ind w:left="708" w:right="128" w:firstLine="425"/>
      </w:pPr>
      <w:r>
        <w:rPr>
          <w:color w:val="231F20"/>
          <w:spacing w:val="-8"/>
        </w:rPr>
        <w:t>如教学“折线统计图”，教师先设计数学实验目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标，要求学生主动参与实验实践，掌握折线统计图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的绘制方法，根据实际问题选择统计图类型，分析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实验数据变化趋势，培养数据收集、整理、分析和预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测的能力。然后是准备实验材料，如实验记录表、坐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标纸和绘图工具。实验步骤包括，问题的提出和数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据收集，数据整合和分析，绘制统计图，实验分析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和评价，最后是实验拓展，让学生利用折线统计图，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展示生活实践数据，应用于生活实践之中。为提升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学生实验感知体验品质，教师特别推出实验评价任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务，与学生一起设计实验评估标准，组织学生依据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7"/>
        </w:rPr>
        <w:t>实验评估标准，包括实验数据完整性、准确性，统计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图绘制的规范性和美观性，还有数据分析的合理性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和深刻性，问题解决的实用性等。这些评估标准带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>有鲜明的辩证性，对实验操作情况进行专业点</w:t>
      </w:r>
      <w:r>
        <w:rPr>
          <w:color w:val="231F20"/>
          <w:spacing w:val="4"/>
        </w:rPr>
        <w:t>评，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促使学生自然形成数学应用能力。数学实验对数据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进行直观性处理，能清晰理清数量关系，也能够呈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现数学原理和底层逻辑，教师科学设计数学实验任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务，组织学生进行实验讨论和反思，给予学生更多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2"/>
        </w:rPr>
        <w:t>实验操作和内化的机会，学生对数学实验比较有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感，其参与热情很高，从实验中获得的量感体验也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更为丰富。</w:t>
      </w:r>
    </w:p>
    <w:p w14:paraId="14D20E8D">
      <w:pPr>
        <w:spacing w:before="29" w:line="228" w:lineRule="auto"/>
        <w:ind w:left="112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5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促进量感思维进阶</w:t>
      </w:r>
    </w:p>
    <w:p w14:paraId="797142AB">
      <w:pPr>
        <w:pStyle w:val="2"/>
        <w:spacing w:before="55" w:line="269" w:lineRule="auto"/>
        <w:ind w:left="710" w:right="186" w:firstLine="419"/>
      </w:pPr>
      <w:r>
        <w:rPr>
          <w:color w:val="231F20"/>
          <w:spacing w:val="2"/>
        </w:rPr>
        <w:t>量感思维成长有自身规律，为完成学生数学量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感思维的顺利进阶，教师要先期研究数学实验内容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>的选择，还要对数学实验操作方法和实验推理进行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专业探究，为学生提供更多实验方法的支持，</w:t>
      </w:r>
      <w:r>
        <w:rPr>
          <w:color w:val="231F20"/>
          <w:spacing w:val="-8"/>
        </w:rPr>
        <w:t>让学生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学会实验反思和评价，自然形成数学量感认知能力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的培养。量感是数学实验的重要目标，学生对</w:t>
      </w:r>
      <w:r>
        <w:rPr>
          <w:color w:val="231F20"/>
          <w:spacing w:val="-8"/>
        </w:rPr>
        <w:t>数学量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感最为敏感，教师在组织学生进行数学实验反思讨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7"/>
        </w:rPr>
        <w:t>论时，还要与学生展开交流互动，为学生提供</w:t>
      </w:r>
      <w:r>
        <w:rPr>
          <w:color w:val="231F20"/>
          <w:spacing w:val="-8"/>
        </w:rPr>
        <w:t>更多研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究思路，确保数学实验认知的顺利内化。</w:t>
      </w:r>
    </w:p>
    <w:p w14:paraId="77396C28">
      <w:pPr>
        <w:pStyle w:val="2"/>
        <w:spacing w:before="30" w:line="258" w:lineRule="auto"/>
        <w:ind w:left="710" w:right="185" w:firstLine="423"/>
      </w:pPr>
      <w:r>
        <w:rPr>
          <w:color w:val="231F20"/>
          <w:spacing w:val="-8"/>
        </w:rPr>
        <w:t>如教学“球的反弹高度”，这个实验旨在通过研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>究球类从不同高度下落后反弹规律，以培养学生观 察、测量、数据分析的能力，教师设计实验教学目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标，包括探究球类反弹规律、应用数学知识、培养科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学态度。实验器材，学生从家里寻找皮球或者乒乓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0"/>
        </w:rPr>
        <w:t>球，以及卷尺、记录表等。实验步骤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0"/>
        </w:rPr>
        <w:t>：将球类放置不</w:t>
      </w:r>
    </w:p>
    <w:p w14:paraId="50D5FC9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E41FE4C">
      <w:pPr>
        <w:pStyle w:val="2"/>
        <w:spacing w:before="36" w:line="271" w:lineRule="auto"/>
        <w:ind w:left="3" w:right="133" w:firstLine="21"/>
        <w:jc w:val="both"/>
      </w:pPr>
      <w:r>
        <w:rPr>
          <w:color w:val="231F20"/>
          <w:spacing w:val="-5"/>
        </w:rPr>
        <w:t>同高度，自由落体，观察球类反弹高度，并做记录。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"/>
        </w:rPr>
        <w:t>多次重复操作，获得实验数据，计算出平均值。实验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结论：同一类球反弹高度与下落高度比值基本恒定，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7"/>
        </w:rPr>
        <w:t>不同类球，弹性系数不同，与材质内部气压等因素有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关，外部因素也有一定影响。最后，教师设计延伸实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践任务，要求学生在生活条件下，探索不同气量、温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度对反弹的影响，研究动能和势能转化的原理。学生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对实验操作比较有兴趣，教师抓住学生关注点展开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实验设计，组织学生进行实验操作和数据处理，逐渐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形成实验结论，学生数学量感逐渐形成。特别是延伸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实验的设计，为学生延伸思考和生活实践创造条件，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从实验任务设计情况能够看出，教师有意识引导学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生展开实践性实验探究行动，成功调动学生数学操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作兴趣，让学生在实验操作和研究中完成数学核心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能力的历练。</w:t>
      </w:r>
    </w:p>
    <w:p w14:paraId="339A3257">
      <w:pPr>
        <w:pStyle w:val="2"/>
        <w:spacing w:before="25" w:line="270" w:lineRule="auto"/>
        <w:ind w:left="3" w:right="150" w:firstLine="420"/>
        <w:jc w:val="both"/>
      </w:pPr>
      <w:r>
        <w:rPr>
          <w:color w:val="231F20"/>
          <w:spacing w:val="2"/>
        </w:rPr>
        <w:t>量感是人们通过视觉或者触觉对物体规模、程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7"/>
        </w:rPr>
        <w:t>度、速度等属性进行综合感知，教师借助数学实验融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入量感实验目标，可以有效启动学生数学思维，还能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够为学生创造更多数学应用和体验的机会，让学生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>在数学实验操作中感知量感，促进学生数学学科核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心能力的培养。整合数学实验资源、优化数学实验组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织、创新数学实验评价，教师有意识将数学实验与量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感训练相结合，其适合性更高，训练效果更为出色，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7"/>
        </w:rPr>
        <w:t>学生积极响应，自然形成数学量感认知。</w:t>
      </w:r>
    </w:p>
    <w:p w14:paraId="11761219">
      <w:pPr>
        <w:spacing w:before="289" w:line="227" w:lineRule="auto"/>
        <w:ind w:left="30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参考文献】</w:t>
      </w:r>
    </w:p>
    <w:p w14:paraId="257CBDD2">
      <w:pPr>
        <w:spacing w:before="3" w:line="226" w:lineRule="auto"/>
        <w:ind w:left="2" w:right="208" w:firstLine="455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[1]</w:t>
      </w:r>
      <w:r>
        <w:rPr>
          <w:rFonts w:ascii="楷体" w:hAnsi="楷体" w:eastAsia="楷体" w:cs="楷体"/>
          <w:color w:val="231F20"/>
          <w:spacing w:val="-2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王芳</w:t>
      </w:r>
      <w:r>
        <w:rPr>
          <w:rFonts w:ascii="楷体" w:hAnsi="楷体" w:eastAsia="楷体" w:cs="楷体"/>
          <w:color w:val="231F20"/>
          <w:spacing w:val="-2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3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基于“教学做合</w:t>
      </w:r>
      <w:r>
        <w:rPr>
          <w:rFonts w:ascii="楷体" w:hAnsi="楷体" w:eastAsia="楷体" w:cs="楷体"/>
          <w:color w:val="231F20"/>
          <w:spacing w:val="-5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一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”理念下小学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22"/>
          <w:sz w:val="21"/>
          <w:szCs w:val="21"/>
        </w:rPr>
        <w:t>数学探究性游戏化学习设计研究 [J].</w:t>
      </w: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22"/>
          <w:sz w:val="21"/>
          <w:szCs w:val="21"/>
        </w:rPr>
        <w:t>生活教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育</w:t>
      </w:r>
      <w:r>
        <w:rPr>
          <w:rFonts w:ascii="楷体" w:hAnsi="楷体" w:eastAsia="楷体" w:cs="楷体"/>
          <w:color w:val="231F20"/>
          <w:spacing w:val="-3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,2024(34).</w:t>
      </w:r>
    </w:p>
    <w:p w14:paraId="3FF0736A">
      <w:pPr>
        <w:spacing w:before="8" w:line="225" w:lineRule="auto"/>
        <w:ind w:right="134" w:firstLine="45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[2]</w:t>
      </w:r>
      <w:r>
        <w:rPr>
          <w:rFonts w:ascii="楷体" w:hAnsi="楷体" w:eastAsia="楷体" w:cs="楷体"/>
          <w:color w:val="231F20"/>
          <w:spacing w:val="-1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张翠华</w:t>
      </w:r>
      <w:r>
        <w:rPr>
          <w:rFonts w:ascii="楷体" w:hAnsi="楷体" w:eastAsia="楷体" w:cs="楷体"/>
          <w:color w:val="231F20"/>
          <w:spacing w:val="-3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2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小学数学“教学做合一”的内涵、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价值及实施路径 [J].</w:t>
      </w:r>
      <w:r>
        <w:rPr>
          <w:rFonts w:ascii="楷体" w:hAnsi="楷体" w:eastAsia="楷体" w:cs="楷体"/>
          <w:color w:val="231F20"/>
          <w:spacing w:val="-2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小学教学研究</w:t>
      </w:r>
      <w:r>
        <w:rPr>
          <w:rFonts w:ascii="楷体" w:hAnsi="楷体" w:eastAsia="楷体" w:cs="楷体"/>
          <w:color w:val="231F20"/>
          <w:spacing w:val="-4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,2024(31).</w:t>
      </w:r>
    </w:p>
    <w:p w14:paraId="4EFB4D4A">
      <w:pPr>
        <w:spacing w:before="8" w:line="225" w:lineRule="auto"/>
        <w:ind w:left="16" w:right="209" w:firstLine="441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[3]</w:t>
      </w:r>
      <w:r>
        <w:rPr>
          <w:rFonts w:ascii="楷体" w:hAnsi="楷体" w:eastAsia="楷体" w:cs="楷体"/>
          <w:color w:val="231F20"/>
          <w:spacing w:val="-3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赖妙璇</w:t>
      </w:r>
      <w:r>
        <w:rPr>
          <w:rFonts w:ascii="楷体" w:hAnsi="楷体" w:eastAsia="楷体" w:cs="楷体"/>
          <w:color w:val="231F20"/>
          <w:spacing w:val="-3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.“</w:t>
      </w:r>
      <w:r>
        <w:rPr>
          <w:rFonts w:ascii="楷体" w:hAnsi="楷体" w:eastAsia="楷体" w:cs="楷体"/>
          <w:color w:val="231F20"/>
          <w:spacing w:val="-7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1"/>
          <w:szCs w:val="21"/>
        </w:rPr>
        <w:t>教学做合一”思想在小学数学教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学中的践行策略研究 [J].</w:t>
      </w:r>
      <w:r>
        <w:rPr>
          <w:rFonts w:ascii="楷体" w:hAnsi="楷体" w:eastAsia="楷体" w:cs="楷体"/>
          <w:color w:val="231F20"/>
          <w:spacing w:val="-3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生活教育</w:t>
      </w:r>
      <w:r>
        <w:rPr>
          <w:rFonts w:ascii="楷体" w:hAnsi="楷体" w:eastAsia="楷体" w:cs="楷体"/>
          <w:color w:val="231F20"/>
          <w:spacing w:val="-4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,2025(1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1).</w:t>
      </w:r>
    </w:p>
    <w:p w14:paraId="71BC59AF">
      <w:pPr>
        <w:spacing w:before="9" w:line="225" w:lineRule="auto"/>
        <w:ind w:right="208" w:firstLine="457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0"/>
          <w:sz w:val="21"/>
          <w:szCs w:val="21"/>
        </w:rPr>
        <w:t>[4]</w:t>
      </w:r>
      <w:r>
        <w:rPr>
          <w:rFonts w:ascii="楷体" w:hAnsi="楷体" w:eastAsia="楷体" w:cs="楷体"/>
          <w:color w:val="231F20"/>
          <w:spacing w:val="-3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0"/>
          <w:sz w:val="21"/>
          <w:szCs w:val="21"/>
        </w:rPr>
        <w:t>郑冰丽</w:t>
      </w:r>
      <w:r>
        <w:rPr>
          <w:rFonts w:ascii="楷体" w:hAnsi="楷体" w:eastAsia="楷体" w:cs="楷体"/>
          <w:color w:val="231F20"/>
          <w:spacing w:val="-3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0"/>
          <w:sz w:val="21"/>
          <w:szCs w:val="21"/>
        </w:rPr>
        <w:t>. 以“教学做合一”打造小学数学理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趣课堂 [J].</w:t>
      </w:r>
      <w:r>
        <w:rPr>
          <w:rFonts w:ascii="楷体" w:hAnsi="楷体" w:eastAsia="楷体" w:cs="楷体"/>
          <w:color w:val="231F20"/>
          <w:spacing w:val="-1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华夏教师</w:t>
      </w:r>
      <w:r>
        <w:rPr>
          <w:rFonts w:ascii="楷体" w:hAnsi="楷体" w:eastAsia="楷体" w:cs="楷体"/>
          <w:color w:val="231F20"/>
          <w:spacing w:val="-4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,2025(17).</w:t>
      </w:r>
    </w:p>
    <w:p w14:paraId="75A5695F">
      <w:pPr>
        <w:spacing w:before="265" w:line="228" w:lineRule="auto"/>
        <w:ind w:left="3" w:firstLine="306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课题项目】本文系江苏省教育科学“十四五”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规</w:t>
      </w:r>
      <w:r>
        <w:rPr>
          <w:rFonts w:ascii="楷体" w:hAnsi="楷体" w:eastAsia="楷体" w:cs="楷体"/>
          <w:color w:val="231F20"/>
          <w:spacing w:val="-6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划</w:t>
      </w:r>
      <w:r>
        <w:rPr>
          <w:rFonts w:ascii="楷体" w:hAnsi="楷体" w:eastAsia="楷体" w:cs="楷体"/>
          <w:color w:val="231F20"/>
          <w:spacing w:val="-3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2021</w:t>
      </w:r>
      <w:r>
        <w:rPr>
          <w:rFonts w:ascii="楷体" w:hAnsi="楷体" w:eastAsia="楷体" w:cs="楷体"/>
          <w:color w:val="231F20"/>
          <w:spacing w:val="-3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年度课题“基</w:t>
      </w:r>
      <w:r>
        <w:rPr>
          <w:rFonts w:ascii="楷体" w:hAnsi="楷体" w:eastAsia="楷体" w:cs="楷体"/>
          <w:color w:val="231F20"/>
          <w:spacing w:val="-5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于</w:t>
      </w:r>
      <w:r>
        <w:rPr>
          <w:rFonts w:ascii="楷体" w:hAnsi="楷体" w:eastAsia="楷体" w:cs="楷体"/>
          <w:color w:val="231F20"/>
          <w:spacing w:val="-4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陶行知</w:t>
      </w:r>
      <w:r>
        <w:rPr>
          <w:rFonts w:ascii="楷体" w:hAnsi="楷体" w:eastAsia="楷体" w:cs="楷体"/>
          <w:color w:val="231F20"/>
          <w:spacing w:val="-5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生</w:t>
      </w:r>
      <w:r>
        <w:rPr>
          <w:rFonts w:ascii="楷体" w:hAnsi="楷体" w:eastAsia="楷体" w:cs="楷体"/>
          <w:color w:val="231F20"/>
          <w:spacing w:val="-5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活教</w:t>
      </w:r>
      <w:r>
        <w:rPr>
          <w:rFonts w:ascii="楷体" w:hAnsi="楷体" w:eastAsia="楷体" w:cs="楷体"/>
          <w:color w:val="231F20"/>
          <w:spacing w:val="-5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育</w:t>
      </w:r>
      <w:r>
        <w:rPr>
          <w:rFonts w:ascii="楷体" w:hAnsi="楷体" w:eastAsia="楷体" w:cs="楷体"/>
          <w:color w:val="231F20"/>
          <w:spacing w:val="-5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思</w:t>
      </w:r>
      <w:r>
        <w:rPr>
          <w:rFonts w:ascii="楷体" w:hAnsi="楷体" w:eastAsia="楷体" w:cs="楷体"/>
          <w:color w:val="231F20"/>
          <w:spacing w:val="-5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想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  </w:t>
      </w:r>
      <w:r>
        <w:rPr>
          <w:rFonts w:ascii="楷体" w:hAnsi="楷体" w:eastAsia="楷体" w:cs="楷体"/>
          <w:color w:val="231F20"/>
          <w:spacing w:val="5"/>
          <w:sz w:val="21"/>
          <w:szCs w:val="21"/>
        </w:rPr>
        <w:t>理念的小学数学实验教学研究”（项目编号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：</w:t>
      </w:r>
      <w:r>
        <w:rPr>
          <w:rFonts w:ascii="楷体" w:hAnsi="楷体" w:eastAsia="楷体" w:cs="楷体"/>
          <w:color w:val="231F20"/>
          <w:sz w:val="21"/>
          <w:szCs w:val="21"/>
        </w:rPr>
        <w:t>TY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-</w:t>
      </w:r>
      <w:r>
        <w:rPr>
          <w:rFonts w:ascii="楷体" w:hAnsi="楷体" w:eastAsia="楷体" w:cs="楷体"/>
          <w:color w:val="231F20"/>
          <w:sz w:val="21"/>
          <w:szCs w:val="21"/>
        </w:rPr>
        <w:t xml:space="preserve">   </w:t>
      </w:r>
      <w:r>
        <w:rPr>
          <w:rFonts w:ascii="楷体" w:hAnsi="楷体" w:eastAsia="楷体" w:cs="楷体"/>
          <w:color w:val="231F20"/>
          <w:spacing w:val="-8"/>
          <w:sz w:val="21"/>
          <w:szCs w:val="21"/>
        </w:rPr>
        <w:t>c/2021/30）研究成果。</w:t>
      </w:r>
    </w:p>
    <w:p w14:paraId="767079B9">
      <w:pPr>
        <w:spacing w:line="228" w:lineRule="auto"/>
        <w:rPr>
          <w:rFonts w:ascii="楷体" w:hAnsi="楷体" w:eastAsia="楷体" w:cs="楷体"/>
          <w:sz w:val="21"/>
          <w:szCs w:val="21"/>
        </w:rPr>
        <w:sectPr>
          <w:type w:val="continuous"/>
          <w:pgSz w:w="12076" w:h="16498"/>
          <w:pgMar w:top="1372" w:right="1095" w:bottom="0" w:left="432" w:header="1113" w:footer="0" w:gutter="0"/>
          <w:cols w:equalWidth="0" w:num="2">
            <w:col w:w="5566" w:space="100"/>
            <w:col w:w="4883"/>
          </w:cols>
        </w:sectPr>
      </w:pPr>
    </w:p>
    <w:p w14:paraId="3B425C2A">
      <w:pPr>
        <w:spacing w:line="271" w:lineRule="auto"/>
        <w:rPr>
          <w:rFonts w:ascii="Arial"/>
          <w:sz w:val="21"/>
        </w:rPr>
      </w:pPr>
    </w:p>
    <w:p w14:paraId="6CA76879">
      <w:pPr>
        <w:pStyle w:val="2"/>
        <w:spacing w:before="66" w:line="184" w:lineRule="auto"/>
        <w:ind w:left="10151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51</w:t>
      </w:r>
    </w:p>
    <w:p w14:paraId="00DE7CB2">
      <w:pPr>
        <w:spacing w:before="10" w:line="240" w:lineRule="exact"/>
      </w:pPr>
      <w:r>
        <w:pict>
          <v:shape id="_x0000_s1028" o:spid="_x0000_s1028" style="position:absolute;left:0pt;margin-left:46.4pt;margin-top:10.5pt;height:0pt;width:0pt;z-index:-251655168;mso-width-relative:page;mso-height-relative:page;" fillcolor="#999999" filled="t" stroked="f" coordsize="0,0" path="m0,0c0,0,0,0,0,0e">
            <v:fill on="t" focussize="0,0"/>
            <v:stroke on="f"/>
            <v:imagedata o:title=""/>
            <o:lock v:ext="edit"/>
          </v:shape>
        </w:pict>
      </w:r>
    </w:p>
    <w:p w14:paraId="1FF57270">
      <w:pPr>
        <w:spacing w:before="10" w:line="240" w:lineRule="exact"/>
      </w:pPr>
    </w:p>
    <w:p w14:paraId="4A2AC721">
      <w:pPr>
        <w:spacing w:before="10" w:line="240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【</w:t>
      </w:r>
      <w:r>
        <w:rPr>
          <w:rFonts w:hint="eastAsia" w:eastAsia="宋体"/>
          <w:lang w:val="en-US" w:eastAsia="zh-CN"/>
        </w:rPr>
        <w:t>反思</w:t>
      </w:r>
      <w:r>
        <w:rPr>
          <w:rFonts w:hint="eastAsia" w:eastAsia="宋体"/>
          <w:lang w:eastAsia="zh-CN"/>
        </w:rPr>
        <w:t>】</w:t>
      </w:r>
    </w:p>
    <w:p w14:paraId="1B9B3B7F">
      <w:pPr>
        <w:pStyle w:val="2"/>
        <w:spacing w:before="53" w:line="269" w:lineRule="auto"/>
        <w:ind w:left="879" w:right="133" w:firstLine="422"/>
        <w:rPr>
          <w:color w:val="231F20"/>
          <w:spacing w:val="-3"/>
        </w:rPr>
      </w:pPr>
      <w:r>
        <w:rPr>
          <w:rFonts w:hint="eastAsia"/>
          <w:lang w:val="en-US" w:eastAsia="zh-CN"/>
        </w:rPr>
        <w:t>1.</w:t>
      </w:r>
      <w:r>
        <w:rPr>
          <w:rFonts w:hint="eastAsia" w:eastAsia="宋体"/>
          <w:lang w:val="en-US" w:eastAsia="zh-CN"/>
        </w:rPr>
        <w:t>优化实验活动的组织：</w:t>
      </w:r>
      <w:r>
        <w:rPr>
          <w:color w:val="231F20"/>
          <w:spacing w:val="2"/>
        </w:rPr>
        <w:t>数学实验活动组织时，教师要先期研究实验操</w:t>
      </w:r>
      <w:r>
        <w:rPr>
          <w:color w:val="231F20"/>
          <w:spacing w:val="-7"/>
        </w:rPr>
        <w:t>作方法，理顺实验推理程序，还要对实验原理进行专业分析，以便提出符合的实验要求，确保实验的顺利展开。数学实验可以是独立观察、独立操作，还可以是集体协作和互动，教师精心选择实验方案内容，规划清晰操作程序，还要针对学生实验学力基础，给予</w:t>
      </w:r>
      <w:r>
        <w:rPr>
          <w:color w:val="231F20"/>
          <w:spacing w:val="2"/>
        </w:rPr>
        <w:t>学生以学法支持，或者是组织学生进入实验学法分</w:t>
      </w:r>
      <w:r>
        <w:rPr>
          <w:color w:val="231F20"/>
          <w:spacing w:val="-5"/>
        </w:rPr>
        <w:t>享活动，让学生在集体展示和交流中积累实验学法，</w:t>
      </w:r>
      <w:r>
        <w:rPr>
          <w:color w:val="231F20"/>
          <w:spacing w:val="-3"/>
        </w:rPr>
        <w:t>促进学生量感认知的顺利内化。</w:t>
      </w:r>
    </w:p>
    <w:p w14:paraId="32293954">
      <w:pPr>
        <w:pStyle w:val="2"/>
        <w:spacing w:before="53" w:line="269" w:lineRule="auto"/>
        <w:ind w:left="879" w:right="133" w:firstLine="422"/>
        <w:rPr>
          <w:rFonts w:hint="eastAsia"/>
          <w:color w:val="231F20"/>
          <w:spacing w:val="-3"/>
        </w:rPr>
      </w:pPr>
      <w:r>
        <w:rPr>
          <w:rFonts w:hint="eastAsia"/>
          <w:color w:val="231F20"/>
          <w:spacing w:val="-3"/>
          <w:lang w:val="en-US" w:eastAsia="zh-CN"/>
        </w:rPr>
        <w:t>2.注重实验活动后评价：</w:t>
      </w:r>
      <w:r>
        <w:rPr>
          <w:rFonts w:hint="eastAsia"/>
          <w:color w:val="231F20"/>
          <w:spacing w:val="-3"/>
        </w:rPr>
        <w:t>数学实验结束后，教师要注意对数学实验结论 进行分析，组织学生展开实验学习反思和讨论，让学 生在数学实验总结中建立数学量感认知，培养学生良好数学学习思维习惯。数学实验评价方式众多，教 师要有创新设计的意识，以顺利调动学生实验评价 的积极性，让学生在独立思考、互动交流、专业讨论 中完成数学认知的顺利内化。量感是数学实验目标 设定的核心内容，教师要关注学生实验操作整个过 程，还要关注学生实验结论的落实。</w:t>
      </w:r>
    </w:p>
    <w:p w14:paraId="7AD95529">
      <w:pPr>
        <w:pStyle w:val="2"/>
        <w:spacing w:before="53" w:line="269" w:lineRule="auto"/>
        <w:ind w:left="879" w:right="133" w:firstLine="422"/>
        <w:rPr>
          <w:rFonts w:hint="eastAsia" w:ascii="宋体" w:hAnsi="宋体" w:eastAsia="宋体" w:cs="宋体"/>
          <w:color w:val="231F20"/>
          <w:spacing w:val="-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小学数学实验具有直观性、推理性和可操作性，教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师围绕学生量感思维认知成长设计数学实 验，组织学生进行数学实验操作和分析，不仅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能够实现数学概念原理的验证，还能够有效激活学生数学思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sz w:val="21"/>
          <w:szCs w:val="21"/>
        </w:rPr>
        <w:t>维，促进学生数学综合能力的成长。整合数学实验资源、优化数学实验组织、创新数学实验评价，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</w:rPr>
        <w:t>教师以数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6"/>
          <w:sz w:val="21"/>
          <w:szCs w:val="21"/>
        </w:rPr>
        <w:t>学实验为载体，启迪学生数学量感思维，促进学生学科核心能力的培养。</w:t>
      </w:r>
    </w:p>
    <w:p w14:paraId="676342A7">
      <w:pPr>
        <w:pStyle w:val="2"/>
        <w:spacing w:before="53" w:line="269" w:lineRule="auto"/>
        <w:ind w:left="879" w:right="133" w:firstLine="422"/>
        <w:rPr>
          <w:rFonts w:hint="eastAsia"/>
          <w:color w:val="231F20"/>
          <w:spacing w:val="-3"/>
        </w:rPr>
      </w:pPr>
    </w:p>
    <w:p w14:paraId="2ECE6C80">
      <w:pPr>
        <w:pStyle w:val="2"/>
        <w:spacing w:before="53" w:line="269" w:lineRule="auto"/>
        <w:ind w:left="879" w:right="133" w:firstLine="422"/>
        <w:rPr>
          <w:color w:val="231F20"/>
          <w:spacing w:val="-3"/>
        </w:rPr>
      </w:pPr>
    </w:p>
    <w:p w14:paraId="6CF50523">
      <w:pPr>
        <w:spacing w:before="10" w:line="240" w:lineRule="exact"/>
        <w:rPr>
          <w:rFonts w:hint="default" w:eastAsia="宋体"/>
          <w:lang w:val="en-US" w:eastAsia="zh-CN"/>
        </w:rPr>
      </w:pPr>
    </w:p>
    <w:sectPr>
      <w:type w:val="continuous"/>
      <w:pgSz w:w="12076" w:h="16498"/>
      <w:pgMar w:top="1372" w:right="1095" w:bottom="0" w:left="432" w:header="1113" w:footer="0" w:gutter="0"/>
      <w:cols w:equalWidth="0" w:num="1">
        <w:col w:w="105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FFC3">
    <w:pPr>
      <w:pStyle w:val="2"/>
      <w:spacing w:before="19" w:line="193" w:lineRule="auto"/>
      <w:ind w:left="713"/>
      <w:rPr>
        <w:sz w:val="22"/>
        <w:szCs w:val="22"/>
      </w:rPr>
    </w:pPr>
    <w:r>
      <w:rPr>
        <w:color w:val="231F20"/>
        <w:sz w:val="22"/>
        <w:szCs w:val="22"/>
        <w:u w:val="single" w:color="auto"/>
      </w:rPr>
      <w:t>2025 12（总第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660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期）</w:t>
    </w:r>
    <w:r>
      <w:rPr>
        <w:color w:val="231F20"/>
        <w:spacing w:val="4"/>
        <w:sz w:val="22"/>
        <w:szCs w:val="22"/>
        <w:u w:val="single" w:color="auto"/>
      </w:rPr>
      <w:t xml:space="preserve">                 </w:t>
    </w:r>
    <w:r>
      <w:rPr>
        <w:position w:val="-2"/>
        <w:sz w:val="22"/>
        <w:szCs w:val="22"/>
      </w:rPr>
      <w:drawing>
        <wp:inline distT="0" distB="0" distL="0" distR="0">
          <wp:extent cx="86360" cy="1270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46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>新教育</w:t>
    </w:r>
    <w:r>
      <w:rPr>
        <w:rFonts w:ascii="黑体" w:hAnsi="黑体" w:eastAsia="黑体" w:cs="黑体"/>
        <w:color w:val="231F20"/>
        <w:spacing w:val="53"/>
        <w:w w:val="101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 xml:space="preserve">中旬  </w:t>
    </w:r>
    <w:r>
      <w:rPr>
        <w:position w:val="-2"/>
        <w:sz w:val="18"/>
        <w:szCs w:val="18"/>
      </w:rPr>
      <w:drawing>
        <wp:inline distT="0" distB="0" distL="0" distR="0">
          <wp:extent cx="86360" cy="1270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  <w:u w:val="single" w:color="auto"/>
      </w:rPr>
      <w:t xml:space="preserve">                         </w:t>
    </w:r>
    <w:r>
      <w:rPr>
        <w:rFonts w:ascii="黑体" w:hAnsi="黑体" w:eastAsia="黑体" w:cs="黑体"/>
        <w:color w:val="231F20"/>
        <w:spacing w:val="2"/>
        <w:sz w:val="18"/>
        <w:szCs w:val="18"/>
        <w:u w:val="single" w:color="auto"/>
      </w:rPr>
      <w:t xml:space="preserve">  </w:t>
    </w:r>
    <w:r>
      <w:rPr>
        <w:sz w:val="18"/>
        <w:szCs w:val="18"/>
      </w:rPr>
      <w:drawing>
        <wp:inline distT="0" distB="0" distL="0" distR="0">
          <wp:extent cx="54610" cy="1270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8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学科亮点</w:t>
    </w:r>
    <w:r>
      <w:rPr>
        <w:color w:val="231F20"/>
        <w:spacing w:val="-41"/>
        <w:sz w:val="22"/>
        <w:szCs w:val="22"/>
        <w:u w:val="single" w:color="auto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70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2"/>
        <w:szCs w:val="22"/>
        <w:u w:val="single" w:color="aut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AE748">
    <w:pPr>
      <w:pStyle w:val="2"/>
      <w:spacing w:before="15" w:line="219" w:lineRule="auto"/>
      <w:jc w:val="right"/>
      <w:rPr>
        <w:sz w:val="22"/>
        <w:szCs w:val="22"/>
      </w:rPr>
    </w:pPr>
    <w:r>
      <w:rPr>
        <w:color w:val="231F20"/>
        <w:sz w:val="22"/>
        <w:szCs w:val="22"/>
      </w:rPr>
      <w:drawing>
        <wp:inline distT="0" distB="0" distL="0" distR="0">
          <wp:extent cx="54610" cy="127000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1"/>
        <w:sz w:val="22"/>
        <w:szCs w:val="22"/>
      </w:rPr>
      <w:t xml:space="preserve"> </w:t>
    </w:r>
    <w:r>
      <w:rPr>
        <w:color w:val="231F20"/>
        <w:sz w:val="22"/>
        <w:szCs w:val="22"/>
      </w:rPr>
      <w:t>学科亮点</w:t>
    </w:r>
    <w:r>
      <w:rPr>
        <w:color w:val="231F20"/>
        <w:spacing w:val="-41"/>
        <w:sz w:val="22"/>
        <w:szCs w:val="22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700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1"/>
        <w:sz w:val="22"/>
        <w:szCs w:val="22"/>
      </w:rPr>
      <w:t xml:space="preserve">                   </w:t>
    </w:r>
    <w:r>
      <w:rPr>
        <w:color w:val="231F20"/>
        <w:sz w:val="22"/>
        <w:szCs w:val="22"/>
      </w:rPr>
      <w:t xml:space="preserve">   </w:t>
    </w:r>
    <w:r>
      <w:rPr>
        <w:position w:val="-3"/>
        <w:sz w:val="22"/>
        <w:szCs w:val="22"/>
      </w:rPr>
      <w:drawing>
        <wp:inline distT="0" distB="0" distL="0" distR="0">
          <wp:extent cx="86360" cy="127000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25"/>
        <w:sz w:val="22"/>
        <w:szCs w:val="22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shd w:val="clear" w:fill="BCBDC0"/>
      </w:rPr>
      <w:t>新教育</w:t>
    </w:r>
    <w:r>
      <w:rPr>
        <w:rFonts w:ascii="黑体" w:hAnsi="黑体" w:eastAsia="黑体" w:cs="黑体"/>
        <w:color w:val="231F20"/>
        <w:spacing w:val="54"/>
        <w:sz w:val="18"/>
        <w:szCs w:val="18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shd w:val="clear" w:fill="BCBDC0"/>
      </w:rPr>
      <w:t>中旬</w:t>
    </w:r>
    <w:r>
      <w:rPr>
        <w:rFonts w:ascii="黑体" w:hAnsi="黑体" w:eastAsia="黑体" w:cs="黑体"/>
        <w:color w:val="231F20"/>
        <w:spacing w:val="68"/>
        <w:sz w:val="18"/>
        <w:szCs w:val="18"/>
        <w:shd w:val="clear" w:fill="BCBDC0"/>
      </w:rPr>
      <w:t xml:space="preserve"> </w:t>
    </w:r>
    <w:r>
      <w:rPr>
        <w:position w:val="-3"/>
        <w:sz w:val="18"/>
        <w:szCs w:val="18"/>
      </w:rPr>
      <w:drawing>
        <wp:inline distT="0" distB="0" distL="0" distR="0">
          <wp:extent cx="86360" cy="12700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</w:rPr>
      <w:t xml:space="preserve">                       </w:t>
    </w:r>
    <w:r>
      <w:rPr>
        <w:color w:val="231F20"/>
        <w:sz w:val="22"/>
        <w:szCs w:val="22"/>
      </w:rPr>
      <w:t>2025 12（总第</w:t>
    </w:r>
    <w:r>
      <w:rPr>
        <w:color w:val="231F20"/>
        <w:spacing w:val="-41"/>
        <w:sz w:val="22"/>
        <w:szCs w:val="22"/>
      </w:rPr>
      <w:t xml:space="preserve"> </w:t>
    </w:r>
    <w:r>
      <w:rPr>
        <w:color w:val="231F20"/>
        <w:sz w:val="22"/>
        <w:szCs w:val="22"/>
      </w:rPr>
      <w:t>660</w:t>
    </w:r>
    <w:r>
      <w:rPr>
        <w:color w:val="231F20"/>
        <w:spacing w:val="-44"/>
        <w:sz w:val="22"/>
        <w:szCs w:val="22"/>
      </w:rPr>
      <w:t xml:space="preserve"> </w:t>
    </w:r>
    <w:r>
      <w:rPr>
        <w:color w:val="231F20"/>
        <w:sz w:val="22"/>
        <w:szCs w:val="22"/>
      </w:rPr>
      <w:t>期）</w:t>
    </w:r>
  </w:p>
  <w:p w14:paraId="1CCD419C">
    <w:pPr>
      <w:spacing w:before="11" w:line="30" w:lineRule="exact"/>
      <w:ind w:firstLine="866"/>
    </w:pPr>
    <w:r>
      <w:rPr>
        <w:position w:val="-1"/>
      </w:rPr>
      <w:pict>
        <v:group id="_x0000_s2049" o:spid="_x0000_s2049" o:spt="203" style="height:2pt;width:482.5pt;" coordsize="9650,40">
          <o:lock v:ext="edit"/>
          <v:shape id="_x0000_s2050" o:spid="_x0000_s2050" style="position:absolute;left:0;top:0;height:6;width:9650;" filled="f" stroked="t" coordsize="9650,6" path="m0,3l9649,3e">
            <v:fill on="f" focussize="0,0"/>
            <v:stroke weight="0.33pt" color="#231F20" miterlimit="4" joinstyle="miter"/>
            <v:imagedata o:title=""/>
            <o:lock v:ext="edit"/>
          </v:shape>
          <v:shape id="_x0000_s2051" o:spid="_x0000_s2051" style="position:absolute;left:0;top:20;height:20;width:9650;" filled="f" stroked="t" coordsize="9650,20" path="m0,10l9649,10e">
            <v:fill on="f" focussize="0,0"/>
            <v:stroke weight="1pt" color="#231F20" miterlimit="4" joinstyle="miter"/>
            <v:imagedata o:title=""/>
            <o:lock v:ext="edit"/>
          </v:shape>
          <w10:wrap type="none"/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8C5F">
    <w:pPr>
      <w:pStyle w:val="2"/>
      <w:spacing w:before="19" w:line="193" w:lineRule="auto"/>
      <w:ind w:left="713"/>
      <w:rPr>
        <w:sz w:val="22"/>
        <w:szCs w:val="22"/>
      </w:rPr>
    </w:pPr>
    <w:r>
      <w:rPr>
        <w:color w:val="231F20"/>
        <w:sz w:val="22"/>
        <w:szCs w:val="22"/>
        <w:u w:val="single" w:color="auto"/>
      </w:rPr>
      <w:t>2025 12（总第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660</w:t>
    </w:r>
    <w:r>
      <w:rPr>
        <w:color w:val="231F20"/>
        <w:spacing w:val="-44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期）</w:t>
    </w:r>
    <w:r>
      <w:rPr>
        <w:color w:val="231F20"/>
        <w:spacing w:val="4"/>
        <w:sz w:val="22"/>
        <w:szCs w:val="22"/>
        <w:u w:val="single" w:color="auto"/>
      </w:rPr>
      <w:t xml:space="preserve">                 </w:t>
    </w:r>
    <w:r>
      <w:rPr>
        <w:position w:val="-2"/>
        <w:sz w:val="22"/>
        <w:szCs w:val="22"/>
      </w:rPr>
      <w:drawing>
        <wp:inline distT="0" distB="0" distL="0" distR="0">
          <wp:extent cx="86360" cy="127000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46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>新教育</w:t>
    </w:r>
    <w:r>
      <w:rPr>
        <w:rFonts w:ascii="黑体" w:hAnsi="黑体" w:eastAsia="黑体" w:cs="黑体"/>
        <w:color w:val="231F20"/>
        <w:spacing w:val="53"/>
        <w:w w:val="101"/>
        <w:sz w:val="18"/>
        <w:szCs w:val="18"/>
        <w:u w:val="single" w:color="auto"/>
        <w:shd w:val="clear" w:fill="BCBDC0"/>
      </w:rPr>
      <w:t xml:space="preserve"> </w:t>
    </w:r>
    <w:r>
      <w:rPr>
        <w:rFonts w:ascii="黑体" w:hAnsi="黑体" w:eastAsia="黑体" w:cs="黑体"/>
        <w:color w:val="231F20"/>
        <w:sz w:val="18"/>
        <w:szCs w:val="18"/>
        <w:u w:val="single" w:color="auto"/>
        <w:shd w:val="clear" w:fill="BCBDC0"/>
      </w:rPr>
      <w:t xml:space="preserve">中旬  </w:t>
    </w:r>
    <w:r>
      <w:rPr>
        <w:position w:val="-2"/>
        <w:sz w:val="18"/>
        <w:szCs w:val="18"/>
      </w:rPr>
      <w:drawing>
        <wp:inline distT="0" distB="0" distL="0" distR="0">
          <wp:extent cx="86360" cy="127000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8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color w:val="231F20"/>
        <w:spacing w:val="3"/>
        <w:sz w:val="18"/>
        <w:szCs w:val="18"/>
        <w:u w:val="single" w:color="auto"/>
      </w:rPr>
      <w:t xml:space="preserve">                         </w:t>
    </w:r>
    <w:r>
      <w:rPr>
        <w:rFonts w:ascii="黑体" w:hAnsi="黑体" w:eastAsia="黑体" w:cs="黑体"/>
        <w:color w:val="231F20"/>
        <w:spacing w:val="2"/>
        <w:sz w:val="18"/>
        <w:szCs w:val="18"/>
        <w:u w:val="single" w:color="auto"/>
      </w:rPr>
      <w:t xml:space="preserve">  </w:t>
    </w:r>
    <w:r>
      <w:rPr>
        <w:sz w:val="18"/>
        <w:szCs w:val="18"/>
      </w:rPr>
      <w:drawing>
        <wp:inline distT="0" distB="0" distL="0" distR="0">
          <wp:extent cx="54610" cy="127000"/>
          <wp:effectExtent l="0" t="0" r="0" b="0"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18"/>
        <w:sz w:val="22"/>
        <w:szCs w:val="22"/>
        <w:u w:val="single" w:color="auto"/>
      </w:rPr>
      <w:t xml:space="preserve"> </w:t>
    </w:r>
    <w:r>
      <w:rPr>
        <w:color w:val="231F20"/>
        <w:sz w:val="22"/>
        <w:szCs w:val="22"/>
        <w:u w:val="single" w:color="auto"/>
      </w:rPr>
      <w:t>学科亮点</w:t>
    </w:r>
    <w:r>
      <w:rPr>
        <w:color w:val="231F20"/>
        <w:spacing w:val="-41"/>
        <w:sz w:val="22"/>
        <w:szCs w:val="22"/>
        <w:u w:val="single" w:color="auto"/>
      </w:rPr>
      <w:t xml:space="preserve"> </w:t>
    </w:r>
    <w:r>
      <w:rPr>
        <w:sz w:val="22"/>
        <w:szCs w:val="22"/>
      </w:rPr>
      <w:drawing>
        <wp:inline distT="0" distB="0" distL="0" distR="0">
          <wp:extent cx="54610" cy="127000"/>
          <wp:effectExtent l="0" t="0" r="0" b="0"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902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2"/>
        <w:szCs w:val="22"/>
        <w:u w:val="single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857932"/>
    <w:rsid w:val="1F8F17C3"/>
    <w:rsid w:val="345B6203"/>
    <w:rsid w:val="42CD0C0D"/>
    <w:rsid w:val="65186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5089</Words>
  <Characters>5197</Characters>
  <TotalTime>0</TotalTime>
  <ScaleCrop>false</ScaleCrop>
  <LinksUpToDate>false</LinksUpToDate>
  <CharactersWithSpaces>5484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2026-01-19T19:50:00Z</dcterms:created>
  <dc:creator>87594</dc:creator>
  <cp:lastModifiedBy>酸酸甜甜</cp:lastModifiedBy>
  <dcterms:modified xsi:type="dcterms:W3CDTF">2026-01-20T06:11:47Z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2026-01-19T20:31:59Z</vt:filetime>
  </property>
  <property fmtid="{D5CDD505-2E9C-101B-9397-08002B2CF9AE}" pid="4" name="KSOTemplateDocerSaveRecord">
    <vt:lpwstr>eyJoZGlkIjoiZGFmMjVlNDlkYmQ1Mzg1OWJiNDIxMTJiOTE5NDhjZTQiLCJ1c2VySWQiOiIxMTY3MjkwOTAzIn0=</vt:lpwstr>
  </property>
  <property fmtid="{D5CDD505-2E9C-101B-9397-08002B2CF9AE}" pid="5" name="KSOProductBuildVer">
    <vt:lpwstr>2052-12.1.0.19770</vt:lpwstr>
  </property>
  <property fmtid="{D5CDD505-2E9C-101B-9397-08002B2CF9AE}" pid="6" name="ICV">
    <vt:lpwstr>04F72B49C0734F9EA7A1B6B25F47343A_12</vt:lpwstr>
  </property>
</Properties>
</file>