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sz w:val="28"/>
          <w:szCs w:val="28"/>
        </w:rPr>
      </w:pPr>
      <w:r>
        <w:rPr>
          <w:rFonts w:ascii="Arial" w:hAnsi="Arial" w:cs="Arial"/>
          <w:i w:val="0"/>
          <w:strike w:val="0"/>
          <w:color w:val="000000"/>
          <w:sz w:val="28"/>
          <w:szCs w:val="28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28"/>
          <w:szCs w:val="28"/>
          <w:u w:val="none"/>
        </w:rPr>
        <w:t>2025-2026学年 上学期 第18周工作安排(12月29日—1月4日)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12月30日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11:10</w:t>
            </w:r>
          </w:p>
        </w:tc>
        <w:tc>
          <w:tcPr>
            <w:tcW w:w="3335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幼儿园北块教研联盟活动（执教者：红梅幼：奚静叶；紫云幼：杨丞婕；红东幼：沈理）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幼儿园北块教研联盟组业务负责人及3-5名骨干教师、区域内感兴趣的教师</w:t>
            </w:r>
          </w:p>
        </w:tc>
        <w:tc>
          <w:tcPr>
            <w:tcW w:w="79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梅幼儿园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天宁区小学语文基本功比赛第二轮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各校基本功比赛选手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（王晓雨、周婷婷、刘艺文、周洲、邹雨轩）</w:t>
            </w:r>
          </w:p>
        </w:tc>
        <w:tc>
          <w:tcPr>
            <w:tcW w:w="79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虹景小学（低段） 北环小学（高段）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12月31日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07:45</w:t>
            </w:r>
          </w:p>
        </w:tc>
        <w:tc>
          <w:tcPr>
            <w:tcW w:w="70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天宁区小学音乐基本功比赛第二轮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各校第二轮入围选手</w:t>
            </w:r>
          </w:p>
        </w:tc>
        <w:tc>
          <w:tcPr>
            <w:tcW w:w="79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</w:t>
            </w:r>
          </w:p>
        </w:tc>
        <w:tc>
          <w:tcPr>
            <w:tcW w:w="928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2.12月31日前各初中校上交三年主动发展规划至教育科。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0"/>
          <w:szCs w:val="30"/>
          <w:u w:val="none"/>
        </w:rPr>
      </w:pPr>
      <w:r>
        <w:rPr>
          <w:rFonts w:ascii="黑体" w:hAnsi="黑体" w:eastAsia="黑体" w:cs="黑体"/>
          <w:b w:val="0"/>
          <w:i w:val="0"/>
          <w:strike w:val="0"/>
          <w:color w:val="000000"/>
          <w:spacing w:val="0"/>
          <w:sz w:val="30"/>
          <w:szCs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0"/>
          <w:strike w:val="0"/>
          <w:color w:val="000000"/>
          <w:sz w:val="30"/>
          <w:szCs w:val="30"/>
          <w:u w:val="none"/>
        </w:rPr>
        <w:t>第18周工作安排</w:t>
      </w:r>
    </w:p>
    <w:p>
      <w:pPr>
        <w:snapToGrid/>
        <w:spacing w:before="120" w:after="75" w:line="240" w:lineRule="auto"/>
        <w:ind w:left="120" w:right="120"/>
        <w:jc w:val="center"/>
        <w:rPr>
          <w:sz w:val="30"/>
          <w:szCs w:val="30"/>
        </w:rPr>
      </w:pPr>
      <w:r>
        <w:rPr>
          <w:rFonts w:ascii="黑体" w:hAnsi="黑体" w:eastAsia="黑体" w:cs="黑体"/>
          <w:i w:val="0"/>
          <w:strike w:val="0"/>
          <w:color w:val="000000"/>
          <w:sz w:val="30"/>
          <w:szCs w:val="30"/>
          <w:u w:val="none"/>
        </w:rPr>
        <w:t>(12月29日—1月4日)</w:t>
      </w:r>
    </w:p>
    <w:p>
      <w:pPr>
        <w:pBdr>
          <w:bottom w:val="none" w:color="auto" w:sz="0" w:space="0"/>
        </w:pBdr>
        <w:snapToGrid w:val="0"/>
        <w:spacing w:before="120" w:after="75" w:line="312" w:lineRule="auto"/>
        <w:ind w:left="120" w:right="120"/>
        <w:jc w:val="center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4996" w:type="pct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0"/>
        <w:gridCol w:w="97"/>
        <w:gridCol w:w="1057"/>
        <w:gridCol w:w="297"/>
        <w:gridCol w:w="1026"/>
        <w:gridCol w:w="332"/>
        <w:gridCol w:w="1356"/>
        <w:gridCol w:w="295"/>
        <w:gridCol w:w="1063"/>
        <w:gridCol w:w="1389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9" w:type="pc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627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718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076" w:type="pct"/>
            <w:gridSpan w:val="3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574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9" w:type="pc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（29日）</w:t>
            </w: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627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718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1076" w:type="pct"/>
            <w:gridSpan w:val="3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574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9" w:type="pc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（30日）</w:t>
            </w: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12:00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b w:val="0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三至六年级部分学生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市分级阅读项目迎元旦读书活动</w:t>
            </w:r>
          </w:p>
        </w:tc>
        <w:tc>
          <w:tcPr>
            <w:tcW w:w="574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9" w:type="pc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（31日）</w:t>
            </w: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12:10</w:t>
            </w:r>
          </w:p>
        </w:tc>
        <w:tc>
          <w:tcPr>
            <w:tcW w:w="627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718" w:type="pct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全体教师</w:t>
            </w:r>
          </w:p>
        </w:tc>
        <w:tc>
          <w:tcPr>
            <w:tcW w:w="1076" w:type="pct"/>
            <w:gridSpan w:val="3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全体教师大会</w:t>
            </w:r>
          </w:p>
        </w:tc>
        <w:tc>
          <w:tcPr>
            <w:tcW w:w="574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569" w:type="pct"/>
            <w:tcBorders>
              <w:top w:val="single" w:color="000000" w:sz="10" w:space="0"/>
              <w:left w:val="single" w:color="000000" w:sz="10" w:space="0"/>
              <w:bottom w:val="single" w:color="auto" w:sz="4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-星期六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（1月1日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-1月3日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）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430" w:type="pct"/>
            <w:gridSpan w:val="10"/>
            <w:tcBorders>
              <w:top w:val="single" w:color="000000" w:sz="10" w:space="0"/>
              <w:left w:val="single" w:color="000000" w:sz="0" w:space="0"/>
              <w:bottom w:val="single" w:color="auto" w:sz="4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FF0000"/>
                <w:spacing w:val="0"/>
                <w:sz w:val="24"/>
                <w:u w:val="none"/>
              </w:rPr>
              <w:t>元旦假期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星期日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（1月4日）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调上周五的课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12：10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俱乐部成员、申报区级课题的组长及主要成员2-3名，校课题专家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尚美讲堂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研路启航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承叶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9" w:type="pct"/>
            <w:vMerge w:val="restart"/>
            <w:tcBorders>
              <w:top w:val="single" w:color="auto" w:sz="4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2998" w:type="pct"/>
            <w:gridSpan w:val="8"/>
            <w:tcBorders>
              <w:top w:val="single" w:color="auto" w:sz="4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市分级阅读项目活动推进。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学校教辅制度汇编，老师了解并签名。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9" w:type="pct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11、12月班主任考核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元旦前后活动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润心平台记录完善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69" w:type="pct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1.区级课题开题报告分享、修改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/>
              <w:jc w:val="left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2.继续教育截止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9" w:type="pct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9" w:type="pct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9" w:type="pct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 w:firstLine="240" w:firstLineChars="1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殷文宇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9" w:type="pct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79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2998" w:type="pct"/>
            <w:gridSpan w:val="8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 xml:space="preserve">牟丹英 杨剑英 邵春玉 周忠才 刘方圆 芮丽杰 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朱晓萍 朱波</w:t>
            </w:r>
          </w:p>
        </w:tc>
        <w:tc>
          <w:tcPr>
            <w:tcW w:w="753" w:type="pct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0" w:after="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740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676</Words>
  <Characters>761</Characters>
  <TotalTime>1</TotalTime>
  <ScaleCrop>false</ScaleCrop>
  <LinksUpToDate>false</LinksUpToDate>
  <CharactersWithSpaces>807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2025-12-29T09:36:00Z</dcterms:created>
  <dc:creator>Administrator</dc:creator>
  <cp:lastModifiedBy>周周</cp:lastModifiedBy>
  <dcterms:modified xsi:type="dcterms:W3CDTF">2025-12-29T01:39:02Z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098AF6FBDFF149A1905F2894C5A2C684</vt:lpwstr>
  </property>
</Properties>
</file>