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F9546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十七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37B5C828">
      <w:pPr>
        <w:pBdr>
          <w:bottom w:val="none" w:color="auto" w:sz="0" w:space="0"/>
        </w:pBdr>
        <w:snapToGrid/>
        <w:spacing w:line="500" w:lineRule="exact"/>
        <w:jc w:val="right"/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2025年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12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22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12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 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26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9645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80"/>
        <w:gridCol w:w="3345"/>
        <w:gridCol w:w="1140"/>
        <w:gridCol w:w="1335"/>
        <w:gridCol w:w="930"/>
      </w:tblGrid>
      <w:tr w14:paraId="3DC43E6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6FA9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34A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B70C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6FB5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6E38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2254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0276D36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576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15960867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F3C2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DDCE">
            <w:pPr>
              <w:numPr>
                <w:ilvl w:val="0"/>
                <w:numId w:val="1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下发阶段调研考务安排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；</w:t>
            </w:r>
          </w:p>
          <w:p w14:paraId="0FAEE61E">
            <w:pPr>
              <w:numPr>
                <w:ilvl w:val="0"/>
                <w:numId w:val="1"/>
              </w:numPr>
              <w:snapToGrid/>
              <w:spacing w:before="0" w:after="0" w:line="300" w:lineRule="exact"/>
              <w:ind w:left="336" w:leftChars="0" w:right="0" w:rightChars="0" w:hanging="336" w:firstLine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数学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物理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化学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英语</w:t>
            </w:r>
          </w:p>
          <w:p w14:paraId="27E2D021">
            <w:pPr>
              <w:numPr>
                <w:numId w:val="0"/>
              </w:numPr>
              <w:snapToGrid/>
              <w:spacing w:before="0" w:after="0" w:line="300" w:lineRule="exact"/>
              <w:ind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备课组长会议（第8课）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E04B6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F0A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2.三楼会议室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9CF68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450B862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6F8C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6D6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1E5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升旗仪式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BD1CB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1E0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3856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1249255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40C9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D6E5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9F0D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岗位晋升审批工作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12A1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65E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1A3EC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67DDCFE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55EB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1D7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F0A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spacing w:val="0"/>
                <w:sz w:val="24"/>
                <w:szCs w:val="32"/>
                <w:u w:val="none"/>
              </w:rPr>
              <w:t>新学校清欠账款台账整理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D6A3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97B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D9E0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387BEC5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907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2ED9FA0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5FFD428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70A2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2239">
            <w:pPr>
              <w:snapToGrid/>
              <w:spacing w:before="0" w:after="0" w:line="3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班主任会议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第5课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1A35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8DD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E1D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3B6B4D2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B0508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1CE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81EA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测算2025奖励性绩效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45DE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127B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013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3660744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8348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0C2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4040B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1月份食堂食材需求填报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FF3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E41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57B1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43E923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52B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1F93D59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24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1F3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20F1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阶段调研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6272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F066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528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37DF1A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AF1F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3CE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0040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汇总各部门2025年度工作总结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219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D8E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301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1C67468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9999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45E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61F2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spacing w:val="0"/>
                <w:sz w:val="24"/>
                <w:szCs w:val="32"/>
                <w:u w:val="none"/>
              </w:rPr>
              <w:t>新学校清欠账款台账上报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EE4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1A5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B2EB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6B496E2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4168E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7B9A96F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25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DE8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79F8A">
            <w:pPr>
              <w:snapToGrid/>
              <w:spacing w:before="0" w:after="0" w:line="3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值周指导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CBD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D62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293E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E8C069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F9C82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130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F4ADC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人教科审批测算结果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D382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253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FCB1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44BE428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AD53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D27E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0ACEF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2026年物业服务采购；</w:t>
            </w:r>
          </w:p>
          <w:p w14:paraId="79AF7691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拟订2026年度零星维修、绿化养护等协议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C36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2A6E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474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735E16B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3913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67E88B6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26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769B9207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D609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A1F2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汇总阶段调研成绩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64A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67B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28E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3649B59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D6DF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66C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C1AF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12月班主任材料收交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1F4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A3C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0D9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1C503BB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C6AC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00B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3D67">
            <w:pPr>
              <w:numPr>
                <w:ilvl w:val="0"/>
                <w:numId w:val="2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行政办公会议；</w:t>
            </w:r>
          </w:p>
          <w:p w14:paraId="5D4FA75F">
            <w:pPr>
              <w:numPr>
                <w:ilvl w:val="0"/>
                <w:numId w:val="2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汇总并商议2025年度十件大事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；</w:t>
            </w:r>
          </w:p>
          <w:p w14:paraId="5A6602FF">
            <w:pPr>
              <w:numPr>
                <w:ilvl w:val="0"/>
                <w:numId w:val="2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各部门上交档案目录梳理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；</w:t>
            </w:r>
          </w:p>
          <w:p w14:paraId="02226F1F">
            <w:pPr>
              <w:numPr>
                <w:ilvl w:val="0"/>
                <w:numId w:val="2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教工大会（第八课）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154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7BFA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  <w:p w14:paraId="4934DC4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  <w:p w14:paraId="0D7A75F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  <w:p w14:paraId="5E8A459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4.一楼阶梯教室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B32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3EA6359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FC1E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F71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EB385">
            <w:pPr>
              <w:numPr>
                <w:ilvl w:val="0"/>
                <w:numId w:val="3"/>
              </w:num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安全教育平台：交通安全专题教育授课情况；</w:t>
            </w:r>
          </w:p>
          <w:p w14:paraId="3EF4CC82">
            <w:pPr>
              <w:numPr>
                <w:ilvl w:val="0"/>
                <w:numId w:val="3"/>
              </w:num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CK报警系统测试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31D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B80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D2E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</w:tbl>
    <w:p w14:paraId="1F7DD786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0A7C3BD8">
      <w:pPr>
        <w:snapToGrid/>
        <w:spacing w:line="360" w:lineRule="exact"/>
        <w:ind w:left="0"/>
        <w:jc w:val="right"/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2025-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12-21</w:t>
      </w:r>
    </w:p>
    <w:p w14:paraId="7FD5DE01">
      <w:pPr>
        <w:snapToGrid/>
        <w:spacing w:line="360" w:lineRule="exact"/>
        <w:ind w:left="0"/>
        <w:jc w:val="right"/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</w:pPr>
    </w:p>
    <w:p w14:paraId="0AAD92C8">
      <w:pPr>
        <w:snapToGrid/>
        <w:spacing w:line="360" w:lineRule="exact"/>
        <w:ind w:left="0"/>
        <w:jc w:val="right"/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</w:pPr>
    </w:p>
    <w:p w14:paraId="54B73C93">
      <w:pPr>
        <w:snapToGrid/>
        <w:spacing w:line="360" w:lineRule="exact"/>
        <w:ind w:left="0"/>
        <w:jc w:val="right"/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</w:pPr>
    </w:p>
    <w:p w14:paraId="327B83B9">
      <w:pPr>
        <w:snapToGrid/>
        <w:spacing w:line="360" w:lineRule="exact"/>
        <w:ind w:left="0"/>
        <w:jc w:val="right"/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</w:pPr>
    </w:p>
    <w:p w14:paraId="563C9CE5">
      <w:pPr>
        <w:snapToGrid/>
        <w:spacing w:line="360" w:lineRule="exact"/>
        <w:ind w:left="0"/>
        <w:jc w:val="right"/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</w:pPr>
    </w:p>
    <w:p w14:paraId="534BCE82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2">
    <w:nsid w:val="5C5063A1"/>
    <w:multiLevelType w:val="singleLevel"/>
    <w:tmpl w:val="5C5063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3C418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link w:val="1"/>
    <w:uiPriority w:val="0"/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381</Words>
  <Characters>426</Characters>
  <TotalTime>4</TotalTime>
  <ScaleCrop>false</ScaleCrop>
  <LinksUpToDate>false</LinksUpToDate>
  <CharactersWithSpaces>503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2025-12-21T19:25:00Z</dcterms:created>
  <dc:creator>hp</dc:creator>
  <cp:lastModifiedBy>WYD</cp:lastModifiedBy>
  <dcterms:modified xsi:type="dcterms:W3CDTF">2025-12-21T11:29:30Z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072DF012061E4E0E983A5AC54B954824_12</vt:lpwstr>
  </property>
</Properties>
</file>