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4B8D" w:rsidRPr="00823BDD" w:rsidRDefault="009B4B8D" w:rsidP="009B4B8D">
      <w:pPr>
        <w:spacing w:line="360" w:lineRule="auto"/>
        <w:jc w:val="center"/>
        <w:rPr>
          <w:rFonts w:ascii="黑体" w:eastAsia="黑体" w:hAnsi="黑体"/>
          <w:sz w:val="24"/>
        </w:rPr>
      </w:pPr>
      <w:r>
        <w:rPr>
          <w:noProof/>
          <w:color w:val="4472C4" w:themeColor="accent1"/>
        </w:rPr>
        <mc:AlternateContent>
          <mc:Choice Requires="wps">
            <w:drawing>
              <wp:anchor distT="0" distB="0" distL="114300" distR="114300" simplePos="0" relativeHeight="251659264" behindDoc="0" locked="0" layoutInCell="1" allowOverlap="1" wp14:anchorId="1C887A8A" wp14:editId="3AD1BF13">
                <wp:simplePos x="0" y="0"/>
                <wp:positionH relativeFrom="column">
                  <wp:posOffset>-117231</wp:posOffset>
                </wp:positionH>
                <wp:positionV relativeFrom="paragraph">
                  <wp:posOffset>-113763</wp:posOffset>
                </wp:positionV>
                <wp:extent cx="1019907" cy="316523"/>
                <wp:effectExtent l="0" t="0" r="0" b="1270"/>
                <wp:wrapNone/>
                <wp:docPr id="1" name="文本框 1"/>
                <wp:cNvGraphicFramePr/>
                <a:graphic xmlns:a="http://schemas.openxmlformats.org/drawingml/2006/main">
                  <a:graphicData uri="http://schemas.microsoft.com/office/word/2010/wordprocessingShape">
                    <wps:wsp>
                      <wps:cNvSpPr txBox="1"/>
                      <wps:spPr>
                        <a:xfrm>
                          <a:off x="0" y="0"/>
                          <a:ext cx="1019907" cy="316523"/>
                        </a:xfrm>
                        <a:prstGeom prst="rect">
                          <a:avLst/>
                        </a:prstGeom>
                        <a:solidFill>
                          <a:schemeClr val="lt1"/>
                        </a:solidFill>
                        <a:ln w="6350">
                          <a:noFill/>
                        </a:ln>
                      </wps:spPr>
                      <wps:txbx>
                        <w:txbxContent>
                          <w:p w:rsidR="009B4B8D" w:rsidRPr="00EC7C0B" w:rsidRDefault="009B4B8D" w:rsidP="009B4B8D">
                            <w:pPr>
                              <w:rPr>
                                <w:rFonts w:ascii="宋体" w:eastAsia="宋体" w:hAnsi="宋体"/>
                                <w:b/>
                                <w:bCs/>
                                <w:sz w:val="24"/>
                              </w:rPr>
                            </w:pPr>
                            <w:r w:rsidRPr="00EC7C0B">
                              <w:rPr>
                                <w:rFonts w:ascii="宋体" w:eastAsia="宋体" w:hAnsi="宋体" w:hint="eastAsia"/>
                                <w:b/>
                                <w:bCs/>
                                <w:sz w:val="24"/>
                              </w:rPr>
                              <w:t>附录</w:t>
                            </w:r>
                            <w:r>
                              <w:rPr>
                                <w:rFonts w:ascii="宋体" w:eastAsia="宋体" w:hAnsi="宋体"/>
                                <w:b/>
                                <w:bCs/>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887A8A" id="_x0000_t202" coordsize="21600,21600" o:spt="202" path="m,l,21600r21600,l21600,xe">
                <v:stroke joinstyle="miter"/>
                <v:path gradientshapeok="t" o:connecttype="rect"/>
              </v:shapetype>
              <v:shape id="文本框 1" o:spid="_x0000_s1026" type="#_x0000_t202" style="position:absolute;left:0;text-align:left;margin-left:-9.25pt;margin-top:-8.95pt;width:80.3pt;height:2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" fillcolor="white [3201]" stroked="f" strokeweight=".5pt">
                <v:textbox>
                  <w:txbxContent>
                    <w:p w:rsidR="009B4B8D" w:rsidRPr="00EC7C0B" w:rsidRDefault="009B4B8D" w:rsidP="009B4B8D">
                      <w:pPr>
                        <w:rPr>
                          <w:rFonts w:ascii="宋体" w:eastAsia="宋体" w:hAnsi="宋体"/>
                          <w:b/>
                          <w:bCs/>
                          <w:sz w:val="24"/>
                        </w:rPr>
                      </w:pPr>
                      <w:r w:rsidRPr="00EC7C0B">
                        <w:rPr>
                          <w:rFonts w:ascii="宋体" w:eastAsia="宋体" w:hAnsi="宋体" w:hint="eastAsia"/>
                          <w:b/>
                          <w:bCs/>
                          <w:sz w:val="24"/>
                        </w:rPr>
                        <w:t>附录</w:t>
                      </w:r>
                      <w:r>
                        <w:rPr>
                          <w:rFonts w:ascii="宋体" w:eastAsia="宋体" w:hAnsi="宋体"/>
                          <w:b/>
                          <w:bCs/>
                          <w:sz w:val="24"/>
                        </w:rPr>
                        <w:t>2</w:t>
                      </w:r>
                    </w:p>
                  </w:txbxContent>
                </v:textbox>
              </v:shape>
            </w:pict>
          </mc:Fallback>
        </mc:AlternateContent>
      </w:r>
      <w:r w:rsidRPr="00823BDD">
        <w:rPr>
          <w:rFonts w:ascii="黑体" w:eastAsia="黑体" w:hAnsi="黑体" w:hint="eastAsia"/>
          <w:sz w:val="24"/>
        </w:rPr>
        <w:t>图形类专项习题</w:t>
      </w:r>
    </w:p>
    <w:p w:rsidR="009B4B8D" w:rsidRPr="00823BDD" w:rsidRDefault="009B4B8D" w:rsidP="009B4B8D">
      <w:pPr>
        <w:spacing w:line="360" w:lineRule="auto"/>
        <w:jc w:val="center"/>
        <w:rPr>
          <w:rFonts w:ascii="黑体" w:eastAsia="黑体" w:hAnsi="黑体"/>
          <w:sz w:val="24"/>
        </w:rPr>
      </w:pPr>
      <w:r w:rsidRPr="00823BDD">
        <w:rPr>
          <w:rFonts w:ascii="黑体" w:eastAsia="黑体" w:hAnsi="黑体" w:hint="eastAsia"/>
          <w:sz w:val="24"/>
        </w:rPr>
        <w:t>学生答题对比分析报告</w:t>
      </w:r>
    </w:p>
    <w:p w:rsidR="009B4B8D" w:rsidRPr="00823BDD" w:rsidRDefault="009B4B8D" w:rsidP="009B4B8D">
      <w:pPr>
        <w:wordWrap w:val="0"/>
        <w:spacing w:line="360" w:lineRule="auto"/>
        <w:jc w:val="right"/>
        <w:rPr>
          <w:rFonts w:ascii="仿宋" w:eastAsia="仿宋" w:hAnsi="仿宋"/>
          <w:szCs w:val="21"/>
        </w:rPr>
      </w:pPr>
      <w:r w:rsidRPr="00823BDD">
        <w:rPr>
          <w:rFonts w:ascii="仿宋" w:eastAsia="仿宋" w:hAnsi="仿宋" w:hint="eastAsia"/>
          <w:szCs w:val="21"/>
        </w:rPr>
        <w:t>常州市东青实验学校课题组</w:t>
      </w:r>
    </w:p>
    <w:p w:rsidR="009B4B8D" w:rsidRPr="00823BDD" w:rsidRDefault="009B4B8D" w:rsidP="009B4B8D">
      <w:pPr>
        <w:spacing w:line="360" w:lineRule="auto"/>
        <w:rPr>
          <w:rFonts w:ascii="黑体" w:eastAsia="黑体" w:hAnsi="黑体" w:cs="Times New Roman"/>
          <w:szCs w:val="21"/>
        </w:rPr>
      </w:pPr>
      <w:r w:rsidRPr="00823BDD">
        <w:rPr>
          <w:rFonts w:ascii="黑体" w:eastAsia="黑体" w:hAnsi="黑体" w:cs="Times New Roman"/>
          <w:szCs w:val="21"/>
        </w:rPr>
        <w:t>一、概述</w:t>
      </w:r>
    </w:p>
    <w:p w:rsidR="009B4B8D" w:rsidRPr="00823BDD" w:rsidRDefault="009B4B8D" w:rsidP="009B4B8D">
      <w:pPr>
        <w:spacing w:line="360" w:lineRule="auto"/>
        <w:ind w:firstLineChars="150" w:firstLine="315"/>
        <w:rPr>
          <w:rFonts w:ascii="Times New Roman" w:eastAsia="宋体" w:hAnsi="Times New Roman" w:cs="Times New Roman"/>
          <w:szCs w:val="21"/>
        </w:rPr>
      </w:pPr>
      <w:r w:rsidRPr="00823BDD">
        <w:rPr>
          <w:rFonts w:ascii="Times New Roman" w:eastAsia="宋体" w:hAnsi="Times New Roman" w:cs="Times New Roman"/>
          <w:szCs w:val="21"/>
        </w:rPr>
        <w:t>本报告以《六年级图形类专项习题》为评估工具，选取两组能力相近的学生进行对比。以东青实验学校六</w:t>
      </w:r>
      <w:r w:rsidRPr="00823BDD">
        <w:rPr>
          <w:rFonts w:ascii="Times New Roman" w:eastAsia="宋体" w:hAnsi="Times New Roman" w:cs="Times New Roman"/>
          <w:szCs w:val="21"/>
        </w:rPr>
        <w:t>1</w:t>
      </w:r>
      <w:r w:rsidRPr="00823BDD">
        <w:rPr>
          <w:rFonts w:ascii="Times New Roman" w:eastAsia="宋体" w:hAnsi="Times New Roman" w:cs="Times New Roman"/>
          <w:szCs w:val="21"/>
        </w:rPr>
        <w:t>班和六</w:t>
      </w:r>
      <w:r w:rsidRPr="00823BDD">
        <w:rPr>
          <w:rFonts w:ascii="Times New Roman" w:eastAsia="宋体" w:hAnsi="Times New Roman" w:cs="Times New Roman"/>
          <w:szCs w:val="21"/>
        </w:rPr>
        <w:t>5</w:t>
      </w:r>
      <w:r w:rsidRPr="00823BDD">
        <w:rPr>
          <w:rFonts w:ascii="Times New Roman" w:eastAsia="宋体" w:hAnsi="Times New Roman" w:cs="Times New Roman"/>
          <w:szCs w:val="21"/>
        </w:rPr>
        <w:t>班两个班的学生为实验组（在教师课堂教学与学生自主学习时使用图形组织者）和对照组（未使用），在</w:t>
      </w:r>
      <w:r w:rsidRPr="00823BDD">
        <w:rPr>
          <w:rFonts w:ascii="Times New Roman" w:eastAsia="宋体" w:hAnsi="Times New Roman" w:cs="Times New Roman"/>
          <w:szCs w:val="21"/>
        </w:rPr>
        <w:t>40</w:t>
      </w:r>
      <w:r w:rsidRPr="00823BDD">
        <w:rPr>
          <w:rFonts w:ascii="Times New Roman" w:eastAsia="宋体" w:hAnsi="Times New Roman" w:cs="Times New Roman"/>
          <w:szCs w:val="21"/>
        </w:rPr>
        <w:t>分钟内完成同一份练习，通过分析他们的答题过程与结果，揭示视觉化学习工具的实际效果。报告对比分析了使用图形组织者进行学习的学生与未使用该工具的学生在答题正确率、错误类型及理解能力方面的差异。</w:t>
      </w:r>
    </w:p>
    <w:p w:rsidR="009B4B8D" w:rsidRPr="00823BDD" w:rsidRDefault="009B4B8D" w:rsidP="009B4B8D">
      <w:pPr>
        <w:spacing w:line="360" w:lineRule="auto"/>
        <w:ind w:firstLineChars="150" w:firstLine="315"/>
        <w:rPr>
          <w:rFonts w:ascii="Times New Roman" w:eastAsia="宋体" w:hAnsi="Times New Roman" w:cs="Times New Roman"/>
          <w:szCs w:val="21"/>
        </w:rPr>
      </w:pPr>
    </w:p>
    <w:p w:rsidR="009B4B8D" w:rsidRPr="00823BDD" w:rsidRDefault="009B4B8D" w:rsidP="009B4B8D">
      <w:pPr>
        <w:spacing w:line="360" w:lineRule="auto"/>
        <w:rPr>
          <w:rFonts w:ascii="黑体" w:eastAsia="黑体" w:hAnsi="黑体" w:cs="Times New Roman"/>
          <w:szCs w:val="21"/>
        </w:rPr>
      </w:pPr>
      <w:r w:rsidRPr="00823BDD">
        <w:rPr>
          <w:rFonts w:ascii="黑体" w:eastAsia="黑体" w:hAnsi="黑体" w:cs="Times New Roman"/>
          <w:szCs w:val="21"/>
        </w:rPr>
        <w:t>二、各题型正确率对比与错误分析</w:t>
      </w:r>
    </w:p>
    <w:tbl>
      <w:tblPr>
        <w:tblStyle w:val="a3"/>
        <w:tblW w:w="8505" w:type="dxa"/>
        <w:tblInd w:w="-5" w:type="dxa"/>
        <w:tblLook w:val="04A0" w:firstRow="1" w:lastRow="0" w:firstColumn="1" w:lastColumn="0" w:noHBand="0" w:noVBand="1"/>
      </w:tblPr>
      <w:tblGrid>
        <w:gridCol w:w="1560"/>
        <w:gridCol w:w="1417"/>
        <w:gridCol w:w="1418"/>
        <w:gridCol w:w="4110"/>
      </w:tblGrid>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题型</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实验组</w:t>
            </w:r>
          </w:p>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正确率</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对照组</w:t>
            </w:r>
          </w:p>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正确率</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对照组</w:t>
            </w:r>
          </w:p>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错误主要原因</w:t>
            </w:r>
          </w:p>
        </w:tc>
      </w:tr>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听力理解</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92%</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78%</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信息抓取不全，逻辑关系混乱</w:t>
            </w:r>
          </w:p>
        </w:tc>
      </w:tr>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阅读理解</w:t>
            </w:r>
          </w:p>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任务一</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96%</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82%</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未能准确把握文章结构，细节遗漏</w:t>
            </w:r>
          </w:p>
        </w:tc>
      </w:tr>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阅读理解</w:t>
            </w:r>
          </w:p>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任务二</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89%</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70%</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信息归类不清，缺乏系统性梳理</w:t>
            </w:r>
          </w:p>
        </w:tc>
      </w:tr>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行程表阅读</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94%</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75%</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时间与地点对应关系混淆，信息提取慢</w:t>
            </w:r>
          </w:p>
        </w:tc>
      </w:tr>
      <w:tr w:rsidR="009B4B8D" w:rsidRPr="00823BDD" w:rsidTr="007A6026">
        <w:tc>
          <w:tcPr>
            <w:tcW w:w="156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书面表达</w:t>
            </w:r>
          </w:p>
        </w:tc>
        <w:tc>
          <w:tcPr>
            <w:tcW w:w="1417"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85%</w:t>
            </w:r>
          </w:p>
        </w:tc>
        <w:tc>
          <w:tcPr>
            <w:tcW w:w="1418"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66%</w:t>
            </w:r>
          </w:p>
        </w:tc>
        <w:tc>
          <w:tcPr>
            <w:tcW w:w="4110" w:type="dxa"/>
          </w:tcPr>
          <w:p w:rsidR="009B4B8D" w:rsidRPr="00823BDD" w:rsidRDefault="009B4B8D" w:rsidP="007A6026">
            <w:pPr>
              <w:spacing w:line="360" w:lineRule="auto"/>
              <w:jc w:val="left"/>
              <w:rPr>
                <w:rFonts w:ascii="Times New Roman" w:eastAsia="宋体" w:hAnsi="Times New Roman" w:cs="Times New Roman"/>
                <w:szCs w:val="21"/>
              </w:rPr>
            </w:pPr>
            <w:r w:rsidRPr="00823BDD">
              <w:rPr>
                <w:rFonts w:ascii="Times New Roman" w:eastAsia="宋体" w:hAnsi="Times New Roman" w:cs="Times New Roman"/>
                <w:szCs w:val="21"/>
              </w:rPr>
              <w:t>内容组织混乱，逻辑不连贯</w:t>
            </w:r>
          </w:p>
        </w:tc>
      </w:tr>
    </w:tbl>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注：实验组为在教师课堂以及学生自主学习时使用图形组织者的东青实验学校六</w:t>
      </w:r>
      <w:r w:rsidRPr="00823BDD">
        <w:rPr>
          <w:rFonts w:ascii="Times New Roman" w:eastAsia="宋体" w:hAnsi="Times New Roman" w:cs="Times New Roman"/>
          <w:szCs w:val="21"/>
        </w:rPr>
        <w:t>1</w:t>
      </w:r>
      <w:r w:rsidRPr="00823BDD">
        <w:rPr>
          <w:rFonts w:ascii="Times New Roman" w:eastAsia="宋体" w:hAnsi="Times New Roman" w:cs="Times New Roman"/>
          <w:szCs w:val="21"/>
        </w:rPr>
        <w:t>班的学生，共</w:t>
      </w:r>
      <w:r w:rsidRPr="00823BDD">
        <w:rPr>
          <w:rFonts w:ascii="Times New Roman" w:eastAsia="宋体" w:hAnsi="Times New Roman" w:cs="Times New Roman"/>
          <w:szCs w:val="21"/>
        </w:rPr>
        <w:t>45</w:t>
      </w:r>
      <w:r w:rsidRPr="00823BDD">
        <w:rPr>
          <w:rFonts w:ascii="Times New Roman" w:eastAsia="宋体" w:hAnsi="Times New Roman" w:cs="Times New Roman"/>
          <w:szCs w:val="21"/>
        </w:rPr>
        <w:t>名。对照组为未使用的同校六</w:t>
      </w:r>
      <w:r w:rsidRPr="00823BDD">
        <w:rPr>
          <w:rFonts w:ascii="Times New Roman" w:eastAsia="宋体" w:hAnsi="Times New Roman" w:cs="Times New Roman"/>
          <w:szCs w:val="21"/>
        </w:rPr>
        <w:t>5</w:t>
      </w:r>
      <w:r w:rsidRPr="00823BDD">
        <w:rPr>
          <w:rFonts w:ascii="Times New Roman" w:eastAsia="宋体" w:hAnsi="Times New Roman" w:cs="Times New Roman"/>
          <w:szCs w:val="21"/>
        </w:rPr>
        <w:t>班学生，共</w:t>
      </w:r>
      <w:r w:rsidRPr="00823BDD">
        <w:rPr>
          <w:rFonts w:ascii="Times New Roman" w:eastAsia="宋体" w:hAnsi="Times New Roman" w:cs="Times New Roman"/>
          <w:szCs w:val="21"/>
        </w:rPr>
        <w:t>46</w:t>
      </w:r>
      <w:r w:rsidRPr="00823BDD">
        <w:rPr>
          <w:rFonts w:ascii="Times New Roman" w:eastAsia="宋体" w:hAnsi="Times New Roman" w:cs="Times New Roman"/>
          <w:szCs w:val="21"/>
        </w:rPr>
        <w:t>名。</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黑体" w:eastAsia="黑体" w:hAnsi="黑体" w:cs="Times New Roman"/>
          <w:szCs w:val="21"/>
        </w:rPr>
      </w:pPr>
      <w:r w:rsidRPr="00823BDD">
        <w:rPr>
          <w:rFonts w:ascii="黑体" w:eastAsia="黑体" w:hAnsi="黑体" w:cs="Times New Roman"/>
          <w:szCs w:val="21"/>
        </w:rPr>
        <w:t>三、分题型详细对比分析</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1. </w:t>
      </w:r>
      <w:r w:rsidRPr="00823BDD">
        <w:rPr>
          <w:rFonts w:ascii="Times New Roman" w:eastAsia="宋体" w:hAnsi="Times New Roman" w:cs="Times New Roman"/>
          <w:szCs w:val="21"/>
        </w:rPr>
        <w:t>听力理解</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1</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实验组：通过图形组织者提前搭建了地点行为的框架，听时快速归类，减少遗漏。典型错误分析：</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第</w:t>
      </w:r>
      <w:r w:rsidRPr="00823BDD">
        <w:rPr>
          <w:rFonts w:ascii="Times New Roman" w:eastAsia="宋体" w:hAnsi="Times New Roman" w:cs="Times New Roman"/>
          <w:szCs w:val="21"/>
        </w:rPr>
        <w:t>3</w:t>
      </w:r>
      <w:r w:rsidRPr="00823BDD">
        <w:rPr>
          <w:rFonts w:ascii="Times New Roman" w:eastAsia="宋体" w:hAnsi="Times New Roman" w:cs="Times New Roman"/>
          <w:szCs w:val="21"/>
        </w:rPr>
        <w:t>空：将</w:t>
      </w:r>
      <w:r w:rsidRPr="00823BDD">
        <w:rPr>
          <w:rFonts w:ascii="Times New Roman" w:eastAsia="宋体" w:hAnsi="Times New Roman" w:cs="Times New Roman"/>
          <w:szCs w:val="21"/>
        </w:rPr>
        <w:t>by the signs</w:t>
      </w:r>
      <w:r w:rsidRPr="00823BDD">
        <w:rPr>
          <w:rFonts w:ascii="Times New Roman" w:eastAsia="宋体" w:hAnsi="Times New Roman" w:cs="Times New Roman"/>
          <w:szCs w:val="21"/>
        </w:rPr>
        <w:t>中的复数</w:t>
      </w:r>
      <w:r w:rsidRPr="00823BDD">
        <w:rPr>
          <w:rFonts w:ascii="Times New Roman" w:eastAsia="宋体" w:hAnsi="Times New Roman" w:cs="Times New Roman"/>
          <w:szCs w:val="21"/>
        </w:rPr>
        <w:t>signs</w:t>
      </w:r>
      <w:r w:rsidRPr="00823BDD">
        <w:rPr>
          <w:rFonts w:ascii="Times New Roman" w:eastAsia="宋体" w:hAnsi="Times New Roman" w:cs="Times New Roman"/>
          <w:szCs w:val="21"/>
        </w:rPr>
        <w:t>误写为</w:t>
      </w:r>
      <w:r w:rsidRPr="00823BDD">
        <w:rPr>
          <w:rFonts w:ascii="Times New Roman" w:eastAsia="宋体" w:hAnsi="Times New Roman" w:cs="Times New Roman"/>
          <w:szCs w:val="21"/>
        </w:rPr>
        <w:t>sign</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第</w:t>
      </w:r>
      <w:r w:rsidRPr="00823BDD">
        <w:rPr>
          <w:rFonts w:ascii="Times New Roman" w:eastAsia="宋体" w:hAnsi="Times New Roman" w:cs="Times New Roman"/>
          <w:szCs w:val="21"/>
        </w:rPr>
        <w:t>5</w:t>
      </w:r>
      <w:r w:rsidRPr="00823BDD">
        <w:rPr>
          <w:rFonts w:ascii="Times New Roman" w:eastAsia="宋体" w:hAnsi="Times New Roman" w:cs="Times New Roman"/>
          <w:szCs w:val="21"/>
        </w:rPr>
        <w:t>空：将</w:t>
      </w:r>
      <w:r w:rsidRPr="00823BDD">
        <w:rPr>
          <w:rFonts w:ascii="Times New Roman" w:eastAsia="宋体" w:hAnsi="Times New Roman" w:cs="Times New Roman"/>
          <w:szCs w:val="21"/>
        </w:rPr>
        <w:t xml:space="preserve">pick the flowers </w:t>
      </w:r>
      <w:r w:rsidRPr="00823BDD">
        <w:rPr>
          <w:rFonts w:ascii="Times New Roman" w:eastAsia="宋体" w:hAnsi="Times New Roman" w:cs="Times New Roman"/>
          <w:szCs w:val="21"/>
        </w:rPr>
        <w:t>中的复数</w:t>
      </w:r>
      <w:r w:rsidRPr="00823BDD">
        <w:rPr>
          <w:rFonts w:ascii="Times New Roman" w:eastAsia="宋体" w:hAnsi="Times New Roman" w:cs="Times New Roman"/>
          <w:szCs w:val="21"/>
        </w:rPr>
        <w:t>flowers</w:t>
      </w:r>
      <w:r w:rsidRPr="00823BDD">
        <w:rPr>
          <w:rFonts w:ascii="Times New Roman" w:eastAsia="宋体" w:hAnsi="Times New Roman" w:cs="Times New Roman"/>
          <w:szCs w:val="21"/>
        </w:rPr>
        <w:t>误写为</w:t>
      </w:r>
      <w:r w:rsidRPr="00823BDD">
        <w:rPr>
          <w:rFonts w:ascii="Times New Roman" w:eastAsia="宋体" w:hAnsi="Times New Roman" w:cs="Times New Roman"/>
          <w:szCs w:val="21"/>
        </w:rPr>
        <w:t>flower</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原因：语法上的一些小错误，与理解无关。</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2</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对照组：在完成表格时，部分学生未能准确捕捉地点</w:t>
      </w:r>
      <w:r w:rsidRPr="00823BDD">
        <w:rPr>
          <w:rFonts w:ascii="Times New Roman" w:eastAsia="宋体" w:hAnsi="Times New Roman" w:cs="Times New Roman"/>
          <w:szCs w:val="21"/>
        </w:rPr>
        <w:t>—</w:t>
      </w:r>
      <w:r w:rsidRPr="00823BDD">
        <w:rPr>
          <w:rFonts w:ascii="Times New Roman" w:eastAsia="宋体" w:hAnsi="Times New Roman" w:cs="Times New Roman"/>
          <w:szCs w:val="21"/>
        </w:rPr>
        <w:t>行为对应关系，如将</w:t>
      </w:r>
      <w:r w:rsidRPr="00823BDD">
        <w:rPr>
          <w:rFonts w:ascii="Times New Roman" w:eastAsia="宋体" w:hAnsi="Times New Roman" w:cs="Times New Roman"/>
          <w:szCs w:val="21"/>
        </w:rPr>
        <w:t>in class</w:t>
      </w:r>
      <w:r w:rsidRPr="00823BDD">
        <w:rPr>
          <w:rFonts w:ascii="Times New Roman" w:eastAsia="宋体" w:hAnsi="Times New Roman" w:cs="Times New Roman"/>
          <w:szCs w:val="21"/>
        </w:rPr>
        <w:lastRenderedPageBreak/>
        <w:t>与</w:t>
      </w:r>
      <w:r w:rsidRPr="00823BDD">
        <w:rPr>
          <w:rFonts w:ascii="Times New Roman" w:eastAsia="宋体" w:hAnsi="Times New Roman" w:cs="Times New Roman"/>
          <w:szCs w:val="21"/>
        </w:rPr>
        <w:t>put up hands</w:t>
      </w:r>
      <w:r w:rsidRPr="00823BDD">
        <w:rPr>
          <w:rFonts w:ascii="Times New Roman" w:eastAsia="宋体" w:hAnsi="Times New Roman" w:cs="Times New Roman"/>
          <w:szCs w:val="21"/>
        </w:rPr>
        <w:t>对应错误。答题过程</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听录音时，在预制的框架中快速填充关键词，如</w:t>
      </w:r>
      <w:r w:rsidRPr="00823BDD">
        <w:rPr>
          <w:rFonts w:ascii="Times New Roman" w:eastAsia="宋体" w:hAnsi="Times New Roman" w:cs="Times New Roman"/>
          <w:szCs w:val="21"/>
        </w:rPr>
        <w:t>signs</w:t>
      </w:r>
      <w:r w:rsidRPr="00823BDD">
        <w:rPr>
          <w:rFonts w:ascii="Times New Roman" w:eastAsia="宋体" w:hAnsi="Times New Roman" w:cs="Times New Roman"/>
          <w:szCs w:val="21"/>
        </w:rPr>
        <w:t>、</w:t>
      </w:r>
      <w:r w:rsidRPr="00823BDD">
        <w:rPr>
          <w:rFonts w:ascii="Times New Roman" w:eastAsia="宋体" w:hAnsi="Times New Roman" w:cs="Times New Roman"/>
          <w:szCs w:val="21"/>
        </w:rPr>
        <w:t>grass</w:t>
      </w:r>
      <w:r w:rsidRPr="00823BDD">
        <w:rPr>
          <w:rFonts w:ascii="Times New Roman" w:eastAsia="宋体" w:hAnsi="Times New Roman" w:cs="Times New Roman"/>
          <w:szCs w:val="21"/>
        </w:rPr>
        <w:t>、</w:t>
      </w:r>
      <w:r w:rsidRPr="00823BDD">
        <w:rPr>
          <w:rFonts w:ascii="Times New Roman" w:eastAsia="宋体" w:hAnsi="Times New Roman" w:cs="Times New Roman"/>
          <w:szCs w:val="21"/>
        </w:rPr>
        <w:t>hands</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需要边听边在脑中构建新框架，信息处理负荷大，容易遗漏。</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2. </w:t>
      </w:r>
      <w:r w:rsidRPr="00823BDD">
        <w:rPr>
          <w:rFonts w:ascii="Times New Roman" w:eastAsia="宋体" w:hAnsi="Times New Roman" w:cs="Times New Roman"/>
          <w:szCs w:val="21"/>
        </w:rPr>
        <w:t>阅读理解（任务一与任务二）</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1</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实验组：通过思维导图将文章结构可视化，分类明确，答题时迅速定位。已训练使用树状图或气泡图对</w:t>
      </w:r>
      <w:r w:rsidRPr="00823BDD">
        <w:rPr>
          <w:rFonts w:ascii="Times New Roman" w:eastAsia="宋体" w:hAnsi="Times New Roman" w:cs="Times New Roman"/>
          <w:szCs w:val="21"/>
        </w:rPr>
        <w:t>How to be a good student</w:t>
      </w:r>
      <w:r w:rsidRPr="00823BDD">
        <w:rPr>
          <w:rFonts w:ascii="Times New Roman" w:eastAsia="宋体" w:hAnsi="Times New Roman" w:cs="Times New Roman"/>
          <w:szCs w:val="21"/>
        </w:rPr>
        <w:t>这类议论文进行结构分析。</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通常采用划线和标注段落大意的方式。答题过程中能迅速识别出文章的总分结构，并将</w:t>
      </w:r>
      <w:r w:rsidRPr="00823BDD">
        <w:rPr>
          <w:rFonts w:ascii="Times New Roman" w:eastAsia="宋体" w:hAnsi="Times New Roman" w:cs="Times New Roman"/>
          <w:szCs w:val="21"/>
        </w:rPr>
        <w:t>have healthy eating, do more exercise</w:t>
      </w:r>
      <w:r w:rsidRPr="00823BDD">
        <w:rPr>
          <w:rFonts w:ascii="Times New Roman" w:eastAsia="宋体" w:hAnsi="Times New Roman" w:cs="Times New Roman"/>
          <w:szCs w:val="21"/>
        </w:rPr>
        <w:t>等细节准确归位于</w:t>
      </w:r>
      <w:r w:rsidRPr="00823BDD">
        <w:rPr>
          <w:rFonts w:ascii="Times New Roman" w:eastAsia="宋体" w:hAnsi="Times New Roman" w:cs="Times New Roman"/>
          <w:szCs w:val="21"/>
        </w:rPr>
        <w:t>Live a healthy life</w:t>
      </w:r>
      <w:r w:rsidRPr="00823BDD">
        <w:rPr>
          <w:rFonts w:ascii="Times New Roman" w:eastAsia="宋体" w:hAnsi="Times New Roman" w:cs="Times New Roman"/>
          <w:szCs w:val="21"/>
        </w:rPr>
        <w:t>主干之下。</w:t>
      </w:r>
      <w:r w:rsidRPr="00823BDD">
        <w:rPr>
          <w:rFonts w:ascii="Times New Roman" w:eastAsia="宋体" w:hAnsi="Times New Roman" w:cs="Times New Roman"/>
          <w:szCs w:val="21"/>
        </w:rPr>
        <w:t xml:space="preserve"> </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2</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对照组：在如何成为好学生任务中，未能清晰区分健康习惯、学习习惯、诚实守信等类别，导致填空错误。对非连续、分层的信息缺乏有效的组织工具，导致信息错位和概念混淆。容易混淆不同主从关系下的细节，例如将</w:t>
      </w:r>
      <w:r w:rsidRPr="00823BDD">
        <w:rPr>
          <w:rFonts w:ascii="Times New Roman" w:eastAsia="宋体" w:hAnsi="Times New Roman" w:cs="Times New Roman"/>
          <w:szCs w:val="21"/>
        </w:rPr>
        <w:t>Don't tell lies</w:t>
      </w:r>
      <w:r w:rsidRPr="00823BDD">
        <w:rPr>
          <w:rFonts w:ascii="Times New Roman" w:eastAsia="宋体" w:hAnsi="Times New Roman" w:cs="Times New Roman"/>
          <w:szCs w:val="21"/>
        </w:rPr>
        <w:t>（属于</w:t>
      </w:r>
      <w:r w:rsidRPr="00823BDD">
        <w:rPr>
          <w:rFonts w:ascii="Times New Roman" w:eastAsia="宋体" w:hAnsi="Times New Roman" w:cs="Times New Roman"/>
          <w:szCs w:val="21"/>
        </w:rPr>
        <w:t>Be honest</w:t>
      </w:r>
      <w:r w:rsidRPr="00823BDD">
        <w:rPr>
          <w:rFonts w:ascii="Times New Roman" w:eastAsia="宋体" w:hAnsi="Times New Roman" w:cs="Times New Roman"/>
          <w:szCs w:val="21"/>
        </w:rPr>
        <w:t>）错误地归类。</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3. </w:t>
      </w:r>
      <w:r w:rsidRPr="00823BDD">
        <w:rPr>
          <w:rFonts w:ascii="Times New Roman" w:eastAsia="宋体" w:hAnsi="Times New Roman" w:cs="Times New Roman"/>
          <w:szCs w:val="21"/>
        </w:rPr>
        <w:t>行程表阅读（非连续性文本）</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1</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实验组：使用时间轴或流程图整理行程，信息一目了然，答题效率高。</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练习过将表格信息转化为时间轴（</w:t>
      </w:r>
      <w:r w:rsidRPr="00823BDD">
        <w:rPr>
          <w:rFonts w:ascii="Times New Roman" w:eastAsia="宋体" w:hAnsi="Times New Roman" w:cs="Times New Roman"/>
          <w:szCs w:val="21"/>
        </w:rPr>
        <w:t>Timeline</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或流程图（</w:t>
      </w:r>
      <w:r w:rsidRPr="00823BDD">
        <w:rPr>
          <w:rFonts w:ascii="Times New Roman" w:eastAsia="宋体" w:hAnsi="Times New Roman" w:cs="Times New Roman"/>
          <w:szCs w:val="21"/>
        </w:rPr>
        <w:t>Flow Chart</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直接阅读表格文本。答题过程</w:t>
      </w:r>
      <w:r w:rsidRPr="00823BDD">
        <w:rPr>
          <w:rFonts w:ascii="Times New Roman" w:eastAsia="宋体" w:hAnsi="Times New Roman" w:cs="Times New Roman" w:hint="eastAsia"/>
          <w:szCs w:val="21"/>
        </w:rPr>
        <w:t>中</w:t>
      </w:r>
      <w:r w:rsidRPr="00823BDD">
        <w:rPr>
          <w:rFonts w:ascii="Times New Roman" w:eastAsia="宋体" w:hAnsi="Times New Roman" w:cs="Times New Roman"/>
          <w:szCs w:val="21"/>
        </w:rPr>
        <w:t>学生</w:t>
      </w:r>
      <w:r w:rsidRPr="00823BDD">
        <w:rPr>
          <w:rFonts w:ascii="Times New Roman" w:eastAsia="宋体" w:hAnsi="Times New Roman" w:cs="Times New Roman"/>
          <w:szCs w:val="21"/>
        </w:rPr>
        <w:t>A</w:t>
      </w:r>
      <w:r w:rsidRPr="00823BDD">
        <w:rPr>
          <w:rFonts w:ascii="Times New Roman" w:eastAsia="宋体" w:hAnsi="Times New Roman" w:cs="Times New Roman"/>
          <w:szCs w:val="21"/>
        </w:rPr>
        <w:t>的笔记示例：</w:t>
      </w:r>
      <w:r w:rsidRPr="00823BDD">
        <w:rPr>
          <w:rFonts w:ascii="Times New Roman" w:eastAsia="宋体" w:hAnsi="Times New Roman" w:cs="Times New Roman"/>
          <w:szCs w:val="21"/>
        </w:rPr>
        <w:t>Day4 (London→</w:t>
      </w:r>
      <w:r>
        <w:rPr>
          <w:rFonts w:ascii="Times New Roman" w:eastAsia="宋体" w:hAnsi="Times New Roman" w:cs="Times New Roman"/>
          <w:szCs w:val="21"/>
        </w:rPr>
        <w:t xml:space="preserve"> </w:t>
      </w:r>
      <w:r w:rsidRPr="00823BDD">
        <w:rPr>
          <w:rFonts w:ascii="Times New Roman" w:eastAsia="宋体" w:hAnsi="Times New Roman" w:cs="Times New Roman"/>
          <w:szCs w:val="21"/>
        </w:rPr>
        <w:t>Cambridge) AM: National Gallery → PM: Train → Shop</w:t>
      </w:r>
      <w:r w:rsidRPr="00823BDD">
        <w:rPr>
          <w:rFonts w:ascii="Times New Roman" w:eastAsia="宋体" w:hAnsi="Times New Roman" w:cs="Times New Roman"/>
          <w:szCs w:val="21"/>
        </w:rPr>
        <w:t>。答题时通过视觉线索快速定位。</w:t>
      </w:r>
      <w:r w:rsidRPr="00823BDD">
        <w:rPr>
          <w:rFonts w:ascii="Times New Roman" w:eastAsia="宋体" w:hAnsi="Times New Roman" w:cs="Times New Roman" w:hint="eastAsia"/>
          <w:szCs w:val="21"/>
        </w:rPr>
        <w:t>不</w:t>
      </w:r>
      <w:r w:rsidRPr="00823BDD">
        <w:rPr>
          <w:rFonts w:ascii="Times New Roman" w:eastAsia="宋体" w:hAnsi="Times New Roman" w:cs="Times New Roman"/>
          <w:szCs w:val="21"/>
        </w:rPr>
        <w:t>需要在原文表格中反复上下扫描查找信息，</w:t>
      </w:r>
      <w:r w:rsidRPr="00823BDD">
        <w:rPr>
          <w:rFonts w:ascii="Times New Roman" w:eastAsia="宋体" w:hAnsi="Times New Roman" w:cs="Times New Roman" w:hint="eastAsia"/>
          <w:szCs w:val="21"/>
        </w:rPr>
        <w:t>这样</w:t>
      </w:r>
      <w:r w:rsidRPr="00823BDD">
        <w:rPr>
          <w:rFonts w:ascii="Times New Roman" w:eastAsia="宋体" w:hAnsi="Times New Roman" w:cs="Times New Roman"/>
          <w:szCs w:val="21"/>
        </w:rPr>
        <w:t>耗时且易串行。</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2</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对照组：在跨天、跨城市的行程中，容易混淆活动顺序与交通工具</w:t>
      </w:r>
      <w:r w:rsidRPr="00823BDD">
        <w:rPr>
          <w:rFonts w:ascii="Times New Roman" w:eastAsia="宋体" w:hAnsi="Times New Roman" w:cs="Times New Roman" w:hint="eastAsia"/>
          <w:szCs w:val="21"/>
        </w:rPr>
        <w:t>。</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典型错误分析</w:t>
      </w:r>
      <w:r w:rsidRPr="00823BDD">
        <w:rPr>
          <w:rFonts w:ascii="Times New Roman" w:eastAsia="宋体" w:hAnsi="Times New Roman" w:cs="Times New Roman"/>
          <w:szCs w:val="21"/>
        </w:rPr>
        <w:t>——</w:t>
      </w:r>
      <w:r w:rsidRPr="00823BDD">
        <w:rPr>
          <w:rFonts w:ascii="Times New Roman" w:eastAsia="宋体" w:hAnsi="Times New Roman" w:cs="Times New Roman"/>
          <w:szCs w:val="21"/>
        </w:rPr>
        <w:t>第</w:t>
      </w:r>
      <w:r w:rsidRPr="00823BDD">
        <w:rPr>
          <w:rFonts w:ascii="Times New Roman" w:eastAsia="宋体" w:hAnsi="Times New Roman" w:cs="Times New Roman"/>
          <w:szCs w:val="21"/>
        </w:rPr>
        <w:t>3</w:t>
      </w:r>
      <w:r w:rsidRPr="00823BDD">
        <w:rPr>
          <w:rFonts w:ascii="Times New Roman" w:eastAsia="宋体" w:hAnsi="Times New Roman" w:cs="Times New Roman"/>
          <w:szCs w:val="21"/>
        </w:rPr>
        <w:t>题：问何时去剑桥？正确答案是</w:t>
      </w:r>
      <w:r w:rsidRPr="00823BDD">
        <w:rPr>
          <w:rFonts w:ascii="Times New Roman" w:eastAsia="宋体" w:hAnsi="Times New Roman" w:cs="Times New Roman"/>
          <w:szCs w:val="21"/>
        </w:rPr>
        <w:t>On the 4th day afternoon</w:t>
      </w:r>
      <w:r w:rsidRPr="00823BDD">
        <w:rPr>
          <w:rFonts w:ascii="Times New Roman" w:eastAsia="宋体" w:hAnsi="Times New Roman" w:cs="Times New Roman"/>
          <w:szCs w:val="21"/>
        </w:rPr>
        <w:t>。部分学生选</w:t>
      </w:r>
      <w:r w:rsidRPr="00823BDD">
        <w:rPr>
          <w:rFonts w:ascii="Times New Roman" w:eastAsia="宋体" w:hAnsi="Times New Roman" w:cs="Times New Roman"/>
          <w:szCs w:val="21"/>
        </w:rPr>
        <w:t>On the 4th day morning</w:t>
      </w:r>
      <w:r w:rsidRPr="00823BDD">
        <w:rPr>
          <w:rFonts w:ascii="Times New Roman" w:eastAsia="宋体" w:hAnsi="Times New Roman" w:cs="Times New Roman"/>
          <w:szCs w:val="21"/>
        </w:rPr>
        <w:t>，因为看到</w:t>
      </w:r>
      <w:r w:rsidRPr="00823BDD">
        <w:rPr>
          <w:rFonts w:ascii="Times New Roman" w:eastAsia="宋体" w:hAnsi="Times New Roman" w:cs="Times New Roman"/>
          <w:szCs w:val="21"/>
        </w:rPr>
        <w:t>After breakfast</w:t>
      </w:r>
      <w:r w:rsidRPr="00823BDD">
        <w:rPr>
          <w:rFonts w:ascii="Times New Roman" w:eastAsia="宋体" w:hAnsi="Times New Roman" w:cs="Times New Roman"/>
          <w:szCs w:val="21"/>
        </w:rPr>
        <w:t>后没有注意到活动地点的变化。</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第</w:t>
      </w:r>
      <w:r w:rsidRPr="00823BDD">
        <w:rPr>
          <w:rFonts w:ascii="Times New Roman" w:eastAsia="宋体" w:hAnsi="Times New Roman" w:cs="Times New Roman"/>
          <w:szCs w:val="21"/>
        </w:rPr>
        <w:t>4</w:t>
      </w:r>
      <w:r w:rsidRPr="00823BDD">
        <w:rPr>
          <w:rFonts w:ascii="Times New Roman" w:eastAsia="宋体" w:hAnsi="Times New Roman" w:cs="Times New Roman"/>
          <w:szCs w:val="21"/>
        </w:rPr>
        <w:t>题：问从剑桥到朴茨茅斯的交通方式。原文在</w:t>
      </w:r>
      <w:r w:rsidRPr="00823BDD">
        <w:rPr>
          <w:rFonts w:ascii="Times New Roman" w:eastAsia="宋体" w:hAnsi="Times New Roman" w:cs="Times New Roman"/>
          <w:szCs w:val="21"/>
        </w:rPr>
        <w:t>Day6</w:t>
      </w:r>
      <w:r w:rsidRPr="00823BDD">
        <w:rPr>
          <w:rFonts w:ascii="Times New Roman" w:eastAsia="宋体" w:hAnsi="Times New Roman" w:cs="Times New Roman"/>
          <w:szCs w:val="21"/>
        </w:rPr>
        <w:t>明确写</w:t>
      </w:r>
      <w:r w:rsidRPr="00823BDD">
        <w:rPr>
          <w:rFonts w:ascii="Times New Roman" w:eastAsia="宋体" w:hAnsi="Times New Roman" w:cs="Times New Roman"/>
          <w:szCs w:val="21"/>
        </w:rPr>
        <w:t>Take the train to Portsmouth</w:t>
      </w:r>
      <w:r w:rsidRPr="00823BDD">
        <w:rPr>
          <w:rFonts w:ascii="Times New Roman" w:eastAsia="宋体" w:hAnsi="Times New Roman" w:cs="Times New Roman"/>
          <w:szCs w:val="21"/>
        </w:rPr>
        <w:t>，但有学生因信息混淆选</w:t>
      </w:r>
      <w:r w:rsidRPr="00823BDD">
        <w:rPr>
          <w:rFonts w:ascii="Times New Roman" w:eastAsia="宋体" w:hAnsi="Times New Roman" w:cs="Times New Roman"/>
          <w:szCs w:val="21"/>
        </w:rPr>
        <w:t>By plane</w:t>
      </w:r>
      <w:r w:rsidRPr="00823BDD">
        <w:rPr>
          <w:rFonts w:ascii="Times New Roman" w:eastAsia="宋体" w:hAnsi="Times New Roman" w:cs="Times New Roman"/>
          <w:szCs w:val="21"/>
        </w:rPr>
        <w:t>。原因：面对多维度信息（时间、地点、活动、交通），缺乏有效的工具建立信息间的关联，导致理解碎片化。</w:t>
      </w:r>
    </w:p>
    <w:p w:rsidR="009B4B8D" w:rsidRPr="00823BDD" w:rsidRDefault="009B4B8D" w:rsidP="009B4B8D">
      <w:pPr>
        <w:spacing w:line="360" w:lineRule="auto"/>
        <w:ind w:firstLineChars="200" w:firstLine="420"/>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4. </w:t>
      </w:r>
      <w:r w:rsidRPr="00823BDD">
        <w:rPr>
          <w:rFonts w:ascii="Times New Roman" w:eastAsia="宋体" w:hAnsi="Times New Roman" w:cs="Times New Roman"/>
          <w:szCs w:val="21"/>
        </w:rPr>
        <w:t>书面表达</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w:t>
      </w:r>
      <w:r w:rsidRPr="00823BDD">
        <w:rPr>
          <w:rFonts w:ascii="Times New Roman" w:eastAsia="宋体" w:hAnsi="Times New Roman" w:cs="Times New Roman"/>
          <w:szCs w:val="21"/>
        </w:rPr>
        <w:t>1</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实验组：借助思维导图组织我的梦想的多个方面（如职业、原因、计划等），内容完整、逻辑清晰。</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lastRenderedPageBreak/>
        <w:t>（</w:t>
      </w:r>
      <w:r w:rsidRPr="00823BDD">
        <w:rPr>
          <w:rFonts w:ascii="Times New Roman" w:eastAsia="宋体" w:hAnsi="Times New Roman" w:cs="Times New Roman"/>
          <w:szCs w:val="21"/>
        </w:rPr>
        <w:t>2</w:t>
      </w:r>
      <w:r w:rsidRPr="00823BDD">
        <w:rPr>
          <w:rFonts w:ascii="Times New Roman" w:eastAsia="宋体" w:hAnsi="Times New Roman" w:cs="Times New Roman"/>
          <w:szCs w:val="21"/>
        </w:rPr>
        <w:t>）</w:t>
      </w: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对照组：作文内容松散，缺乏条理，部分学生未能覆盖所有提示要点。</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黑体" w:eastAsia="黑体" w:hAnsi="黑体" w:cs="Times New Roman"/>
          <w:szCs w:val="21"/>
        </w:rPr>
      </w:pPr>
      <w:r w:rsidRPr="00823BDD">
        <w:rPr>
          <w:rFonts w:ascii="黑体" w:eastAsia="黑体" w:hAnsi="黑体" w:cs="Times New Roman" w:hint="eastAsia"/>
          <w:szCs w:val="21"/>
        </w:rPr>
        <w:t>四</w:t>
      </w:r>
      <w:r w:rsidRPr="00823BDD">
        <w:rPr>
          <w:rFonts w:ascii="黑体" w:eastAsia="黑体" w:hAnsi="黑体" w:cs="Times New Roman"/>
          <w:szCs w:val="21"/>
        </w:rPr>
        <w:t>、图形组织者对图形类与非连续性文本题型的根本性优势</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1. </w:t>
      </w:r>
      <w:r w:rsidRPr="00823BDD">
        <w:rPr>
          <w:rFonts w:ascii="Times New Roman" w:eastAsia="宋体" w:hAnsi="Times New Roman" w:cs="Times New Roman"/>
          <w:szCs w:val="21"/>
        </w:rPr>
        <w:t>从被动接收到主动架构</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   </w:t>
      </w:r>
      <w:r w:rsidRPr="00823BDD">
        <w:rPr>
          <w:rFonts w:ascii="Times New Roman" w:eastAsia="宋体" w:hAnsi="Times New Roman" w:cs="Times New Roman" w:hint="eastAsia"/>
          <w:szCs w:val="21"/>
        </w:rPr>
        <w:t>普通教学或学习过程中，</w:t>
      </w:r>
      <w:r w:rsidRPr="00823BDD">
        <w:rPr>
          <w:rFonts w:ascii="Times New Roman" w:eastAsia="宋体" w:hAnsi="Times New Roman" w:cs="Times New Roman"/>
          <w:szCs w:val="21"/>
        </w:rPr>
        <w:t>学习过程是线性的、被动的，知识像散落的珠子。</w:t>
      </w:r>
      <w:r w:rsidRPr="00823BDD">
        <w:rPr>
          <w:rFonts w:ascii="Times New Roman" w:eastAsia="宋体" w:hAnsi="Times New Roman" w:cs="Times New Roman" w:hint="eastAsia"/>
          <w:szCs w:val="21"/>
        </w:rPr>
        <w:t>而</w:t>
      </w:r>
      <w:r w:rsidRPr="00823BDD">
        <w:rPr>
          <w:rFonts w:ascii="Times New Roman" w:eastAsia="宋体" w:hAnsi="Times New Roman" w:cs="Times New Roman"/>
          <w:szCs w:val="21"/>
        </w:rPr>
        <w:t>使用</w:t>
      </w:r>
      <w:r w:rsidRPr="00823BDD">
        <w:rPr>
          <w:rFonts w:ascii="Times New Roman" w:eastAsia="宋体" w:hAnsi="Times New Roman" w:cs="Times New Roman" w:hint="eastAsia"/>
          <w:szCs w:val="21"/>
        </w:rPr>
        <w:t>图形组织者的教学和学习，</w:t>
      </w:r>
      <w:r w:rsidRPr="00823BDD">
        <w:rPr>
          <w:rFonts w:ascii="Times New Roman" w:eastAsia="宋体" w:hAnsi="Times New Roman" w:cs="Times New Roman"/>
          <w:szCs w:val="21"/>
        </w:rPr>
        <w:t>在学习之初就用思维导图搭建了一个信息框架，新知识进来后能被迅速挂靠在合适的枝干上。这个过程是主动的、结构化的。</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2. </w:t>
      </w:r>
      <w:r w:rsidRPr="00823BDD">
        <w:rPr>
          <w:rFonts w:ascii="Times New Roman" w:eastAsia="宋体" w:hAnsi="Times New Roman" w:cs="Times New Roman"/>
          <w:szCs w:val="21"/>
        </w:rPr>
        <w:t>从工作记忆依赖到外部记忆延伸</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   </w:t>
      </w:r>
      <w:r w:rsidRPr="00823BDD">
        <w:rPr>
          <w:rFonts w:ascii="Times New Roman" w:eastAsia="宋体" w:hAnsi="Times New Roman" w:cs="Times New Roman" w:hint="eastAsia"/>
          <w:szCs w:val="21"/>
        </w:rPr>
        <w:t>普通教学或学习</w:t>
      </w:r>
      <w:r w:rsidRPr="00823BDD">
        <w:rPr>
          <w:rFonts w:ascii="Times New Roman" w:eastAsia="宋体" w:hAnsi="Times New Roman" w:cs="Times New Roman"/>
          <w:szCs w:val="21"/>
        </w:rPr>
        <w:t>高度依赖工作记忆来处理和暂存信息，尤其在听力和阅读复杂文本时，认知负荷极易超载，导致遗忘和错误。</w:t>
      </w:r>
      <w:r w:rsidRPr="00823BDD">
        <w:rPr>
          <w:rFonts w:ascii="Times New Roman" w:eastAsia="宋体" w:hAnsi="Times New Roman" w:cs="Times New Roman" w:hint="eastAsia"/>
          <w:szCs w:val="21"/>
        </w:rPr>
        <w:t>而</w:t>
      </w:r>
      <w:r w:rsidRPr="00823BDD">
        <w:rPr>
          <w:rFonts w:ascii="Times New Roman" w:eastAsia="宋体" w:hAnsi="Times New Roman" w:cs="Times New Roman"/>
          <w:szCs w:val="21"/>
        </w:rPr>
        <w:t>使用</w:t>
      </w:r>
      <w:r w:rsidRPr="00823BDD">
        <w:rPr>
          <w:rFonts w:ascii="Times New Roman" w:eastAsia="宋体" w:hAnsi="Times New Roman" w:cs="Times New Roman" w:hint="eastAsia"/>
          <w:szCs w:val="21"/>
        </w:rPr>
        <w:t>图形组织者的教学和学习，图形组织者</w:t>
      </w:r>
      <w:r w:rsidRPr="00823BDD">
        <w:rPr>
          <w:rFonts w:ascii="Times New Roman" w:eastAsia="宋体" w:hAnsi="Times New Roman" w:cs="Times New Roman"/>
          <w:szCs w:val="21"/>
        </w:rPr>
        <w:t>充当了外部大脑，将记忆负担外部化。学生只需专注于理解和关联，而非死记硬背所有细节。</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3. </w:t>
      </w:r>
      <w:r w:rsidRPr="00823BDD">
        <w:rPr>
          <w:rFonts w:ascii="Times New Roman" w:eastAsia="宋体" w:hAnsi="Times New Roman" w:cs="Times New Roman"/>
          <w:szCs w:val="21"/>
        </w:rPr>
        <w:t>对图形与非连续性文本的专项提升</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本习题中的完成思维导图和阅读行程表是典型的图形类和非连续性文本题型。图形组织者对此类题型的帮助是精准且直接的：</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提供预演和模板：学生在练习时就已经在制作和阅读图形，考试时遇到同类题型，如同见到了老朋友，心理和技能上都有充分准备。</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   </w:t>
      </w:r>
      <w:r w:rsidRPr="00823BDD">
        <w:rPr>
          <w:rFonts w:ascii="Times New Roman" w:eastAsia="宋体" w:hAnsi="Times New Roman" w:cs="Times New Roman"/>
          <w:szCs w:val="21"/>
        </w:rPr>
        <w:t>化非连续为连续：表格、图表、清单等信息是割裂的（非连续）。思维导图通过线条、层级和关键词，将这些碎片信息重新组织成一个有逻辑、有关联的（连续的）整体，极大降低了理解难度。</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rPr>
          <w:rFonts w:ascii="黑体" w:eastAsia="黑体" w:hAnsi="黑体" w:cs="Times New Roman"/>
          <w:szCs w:val="21"/>
        </w:rPr>
      </w:pPr>
      <w:r w:rsidRPr="00823BDD">
        <w:rPr>
          <w:rFonts w:ascii="黑体" w:eastAsia="黑体" w:hAnsi="黑体" w:cs="Times New Roman"/>
          <w:szCs w:val="21"/>
        </w:rPr>
        <w:t>五、结论与建议</w:t>
      </w:r>
    </w:p>
    <w:p w:rsidR="009B4B8D" w:rsidRPr="00823BDD" w:rsidRDefault="009B4B8D" w:rsidP="009B4B8D">
      <w:pPr>
        <w:spacing w:line="360" w:lineRule="auto"/>
        <w:ind w:firstLineChars="200" w:firstLine="420"/>
        <w:rPr>
          <w:rFonts w:ascii="Times New Roman" w:eastAsia="宋体" w:hAnsi="Times New Roman" w:cs="Times New Roman"/>
          <w:szCs w:val="21"/>
        </w:rPr>
      </w:pPr>
      <w:r w:rsidRPr="00823BDD">
        <w:rPr>
          <w:rFonts w:ascii="Times New Roman" w:eastAsia="宋体" w:hAnsi="Times New Roman" w:cs="Times New Roman"/>
          <w:szCs w:val="21"/>
        </w:rPr>
        <w:t>使用思维导图（图形组织者）的学生在图形类、非连续性文本类题目中表现显著优于未使用该工具的学生。思维导图不仅提升了学生的答题正确率，还增强了他们的信息处理能力和逻辑思维能力。</w:t>
      </w:r>
    </w:p>
    <w:p w:rsidR="009B4B8D" w:rsidRPr="00823BDD" w:rsidRDefault="009B4B8D" w:rsidP="009B4B8D">
      <w:pPr>
        <w:spacing w:line="360" w:lineRule="auto"/>
        <w:ind w:firstLineChars="200" w:firstLine="420"/>
        <w:rPr>
          <w:rFonts w:ascii="Times New Roman" w:eastAsia="宋体" w:hAnsi="Times New Roman" w:cs="Times New Roman"/>
          <w:szCs w:val="21"/>
        </w:rPr>
      </w:pPr>
      <w:r w:rsidRPr="00823BDD">
        <w:rPr>
          <w:rFonts w:ascii="Times New Roman" w:eastAsia="宋体" w:hAnsi="Times New Roman" w:cs="Times New Roman" w:hint="eastAsia"/>
          <w:szCs w:val="21"/>
        </w:rPr>
        <w:t>在教</w:t>
      </w:r>
      <w:r w:rsidRPr="00823BDD">
        <w:rPr>
          <w:rFonts w:ascii="Times New Roman" w:eastAsia="宋体" w:hAnsi="Times New Roman" w:cs="Times New Roman"/>
          <w:szCs w:val="21"/>
        </w:rPr>
        <w:t>学</w:t>
      </w:r>
      <w:r w:rsidRPr="00823BDD">
        <w:rPr>
          <w:rFonts w:ascii="Times New Roman" w:eastAsia="宋体" w:hAnsi="Times New Roman" w:cs="Times New Roman" w:hint="eastAsia"/>
          <w:szCs w:val="21"/>
        </w:rPr>
        <w:t>中，教师可以将图形组织者工具</w:t>
      </w:r>
      <w:r w:rsidRPr="00823BDD">
        <w:rPr>
          <w:rFonts w:ascii="Times New Roman" w:eastAsia="宋体" w:hAnsi="Times New Roman" w:cs="Times New Roman"/>
          <w:szCs w:val="21"/>
        </w:rPr>
        <w:t>系统化训练</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将其作为贯穿预习、课堂笔记、复习、写作构思全过程的核心学习策略进行系统训练。</w:t>
      </w:r>
      <w:r w:rsidRPr="00823BDD">
        <w:rPr>
          <w:rFonts w:ascii="Times New Roman" w:eastAsia="宋体" w:hAnsi="Times New Roman" w:cs="Times New Roman" w:hint="eastAsia"/>
          <w:szCs w:val="21"/>
        </w:rPr>
        <w:t>另外，教师需要对学生进行分</w:t>
      </w:r>
      <w:r w:rsidRPr="00823BDD">
        <w:rPr>
          <w:rFonts w:ascii="Times New Roman" w:eastAsia="宋体" w:hAnsi="Times New Roman" w:cs="Times New Roman"/>
          <w:szCs w:val="21"/>
        </w:rPr>
        <w:t>类指导</w:t>
      </w:r>
      <w:r w:rsidRPr="00823BDD">
        <w:rPr>
          <w:rFonts w:ascii="Times New Roman" w:eastAsia="宋体" w:hAnsi="Times New Roman" w:cs="Times New Roman" w:hint="eastAsia"/>
          <w:szCs w:val="21"/>
        </w:rPr>
        <w:t>，即</w:t>
      </w:r>
      <w:r w:rsidRPr="00823BDD">
        <w:rPr>
          <w:rFonts w:ascii="Times New Roman" w:eastAsia="宋体" w:hAnsi="Times New Roman" w:cs="Times New Roman"/>
          <w:szCs w:val="21"/>
        </w:rPr>
        <w:t>教授学生针对不同文体和题型使用不同类型的图形组织者</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议论文</w:t>
      </w:r>
      <w:r w:rsidRPr="00823BDD">
        <w:rPr>
          <w:rFonts w:ascii="Times New Roman" w:eastAsia="宋体" w:hAnsi="Times New Roman" w:cs="Times New Roman" w:hint="eastAsia"/>
          <w:szCs w:val="21"/>
        </w:rPr>
        <w:t>或</w:t>
      </w:r>
      <w:r w:rsidRPr="00823BDD">
        <w:rPr>
          <w:rFonts w:ascii="Times New Roman" w:eastAsia="宋体" w:hAnsi="Times New Roman" w:cs="Times New Roman"/>
          <w:szCs w:val="21"/>
        </w:rPr>
        <w:t>说明文：使用树状图、括号图</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事件过程</w:t>
      </w:r>
      <w:r w:rsidRPr="00823BDD">
        <w:rPr>
          <w:rFonts w:ascii="Times New Roman" w:eastAsia="宋体" w:hAnsi="Times New Roman" w:cs="Times New Roman" w:hint="eastAsia"/>
          <w:szCs w:val="21"/>
        </w:rPr>
        <w:t>或</w:t>
      </w:r>
      <w:r w:rsidRPr="00823BDD">
        <w:rPr>
          <w:rFonts w:ascii="Times New Roman" w:eastAsia="宋体" w:hAnsi="Times New Roman" w:cs="Times New Roman"/>
          <w:szCs w:val="21"/>
        </w:rPr>
        <w:t>旅行计划：使用流程图、时间轴</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对比分析：使用维恩图、双气泡图。</w:t>
      </w:r>
      <w:r w:rsidRPr="00823BDD">
        <w:rPr>
          <w:rFonts w:ascii="Times New Roman" w:eastAsia="宋体" w:hAnsi="Times New Roman" w:cs="Times New Roman" w:hint="eastAsia"/>
          <w:szCs w:val="21"/>
        </w:rPr>
        <w:t>最后引导学生</w:t>
      </w:r>
      <w:r w:rsidRPr="00823BDD">
        <w:rPr>
          <w:rFonts w:ascii="Times New Roman" w:eastAsia="宋体" w:hAnsi="Times New Roman" w:cs="Times New Roman"/>
          <w:szCs w:val="21"/>
        </w:rPr>
        <w:t>从模仿到创造</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初期提供填充式导图模板，让学生模仿</w:t>
      </w:r>
      <w:r w:rsidRPr="00823BDD">
        <w:rPr>
          <w:rFonts w:ascii="Times New Roman" w:eastAsia="宋体" w:hAnsi="Times New Roman" w:cs="Times New Roman" w:hint="eastAsia"/>
          <w:szCs w:val="21"/>
        </w:rPr>
        <w:t>。</w:t>
      </w:r>
      <w:r w:rsidRPr="00823BDD">
        <w:rPr>
          <w:rFonts w:ascii="Times New Roman" w:eastAsia="宋体" w:hAnsi="Times New Roman" w:cs="Times New Roman"/>
          <w:szCs w:val="21"/>
        </w:rPr>
        <w:t>后期鼓励学生根</w:t>
      </w:r>
      <w:r w:rsidRPr="00823BDD">
        <w:rPr>
          <w:rFonts w:ascii="Times New Roman" w:eastAsia="宋体" w:hAnsi="Times New Roman" w:cs="Times New Roman"/>
          <w:szCs w:val="21"/>
        </w:rPr>
        <w:lastRenderedPageBreak/>
        <w:t>据自己的理解创造个性化的</w:t>
      </w:r>
      <w:r w:rsidRPr="00823BDD">
        <w:rPr>
          <w:rFonts w:ascii="Times New Roman" w:eastAsia="宋体" w:hAnsi="Times New Roman" w:cs="Times New Roman" w:hint="eastAsia"/>
          <w:szCs w:val="21"/>
        </w:rPr>
        <w:t>图形组织者</w:t>
      </w:r>
      <w:r w:rsidRPr="00823BDD">
        <w:rPr>
          <w:rFonts w:ascii="Times New Roman" w:eastAsia="宋体" w:hAnsi="Times New Roman" w:cs="Times New Roman"/>
          <w:szCs w:val="21"/>
        </w:rPr>
        <w:t>。</w:t>
      </w:r>
    </w:p>
    <w:p w:rsidR="009B4B8D" w:rsidRPr="00823BDD" w:rsidRDefault="009B4B8D" w:rsidP="009B4B8D">
      <w:pPr>
        <w:spacing w:line="360" w:lineRule="auto"/>
        <w:rPr>
          <w:rFonts w:ascii="Times New Roman" w:eastAsia="宋体" w:hAnsi="Times New Roman" w:cs="Times New Roman"/>
          <w:szCs w:val="21"/>
        </w:rPr>
      </w:pPr>
    </w:p>
    <w:p w:rsidR="009B4B8D" w:rsidRPr="00823BDD" w:rsidRDefault="009B4B8D" w:rsidP="009B4B8D">
      <w:pPr>
        <w:spacing w:line="360" w:lineRule="auto"/>
        <w:ind w:firstLineChars="200" w:firstLine="420"/>
        <w:rPr>
          <w:rFonts w:ascii="Times New Roman" w:eastAsia="宋体" w:hAnsi="Times New Roman" w:cs="Times New Roman"/>
          <w:szCs w:val="21"/>
        </w:rPr>
      </w:pP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参考文献：</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Novak, J. D., &amp; </w:t>
      </w:r>
      <w:proofErr w:type="spellStart"/>
      <w:r w:rsidRPr="00823BDD">
        <w:rPr>
          <w:rFonts w:ascii="Times New Roman" w:eastAsia="宋体" w:hAnsi="Times New Roman" w:cs="Times New Roman"/>
          <w:szCs w:val="21"/>
        </w:rPr>
        <w:t>Cañas</w:t>
      </w:r>
      <w:proofErr w:type="spellEnd"/>
      <w:r w:rsidRPr="00823BDD">
        <w:rPr>
          <w:rFonts w:ascii="Times New Roman" w:eastAsia="宋体" w:hAnsi="Times New Roman" w:cs="Times New Roman"/>
          <w:szCs w:val="21"/>
        </w:rPr>
        <w:t>, A. J. (2008). The Theory Underlying Concept Maps and How to Construct and Use Them.</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Buzan, T. (2006). The Ultimate Book of Mind Maps.</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王陆、李轩</w:t>
      </w:r>
      <w:r w:rsidRPr="00823BDD">
        <w:rPr>
          <w:rFonts w:ascii="Times New Roman" w:eastAsia="宋体" w:hAnsi="Times New Roman" w:cs="Times New Roman"/>
          <w:szCs w:val="21"/>
        </w:rPr>
        <w:t xml:space="preserve"> (2015). </w:t>
      </w:r>
      <w:r w:rsidRPr="00823BDD">
        <w:rPr>
          <w:rFonts w:ascii="Times New Roman" w:eastAsia="宋体" w:hAnsi="Times New Roman" w:cs="Times New Roman"/>
          <w:szCs w:val="21"/>
        </w:rPr>
        <w:t>《图形组织者在小学语文阅读理解教学中的应用研究》</w:t>
      </w:r>
      <w:r w:rsidRPr="00823BDD">
        <w:rPr>
          <w:rFonts w:ascii="Times New Roman" w:eastAsia="宋体" w:hAnsi="Times New Roman" w:cs="Times New Roman"/>
          <w:szCs w:val="21"/>
        </w:rPr>
        <w:t>.</w:t>
      </w:r>
      <w:r w:rsidRPr="00823BDD">
        <w:rPr>
          <w:rFonts w:ascii="Times New Roman" w:eastAsia="宋体" w:hAnsi="Times New Roman" w:cs="Times New Roman"/>
          <w:szCs w:val="21"/>
        </w:rPr>
        <w:t>《现代教育技术》。</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Mayer, R. E. (2005). The Cambridge Handbook of Multimedia Learning. </w:t>
      </w:r>
      <w:r w:rsidRPr="00823BDD">
        <w:rPr>
          <w:rFonts w:ascii="Times New Roman" w:eastAsia="宋体" w:hAnsi="Times New Roman" w:cs="Times New Roman"/>
          <w:szCs w:val="21"/>
        </w:rPr>
        <w:t>书中阐述了视觉组织工具如何通过减少外在认知负荷来提升学习效果。</w:t>
      </w:r>
    </w:p>
    <w:p w:rsidR="009B4B8D" w:rsidRPr="00823BDD" w:rsidRDefault="009B4B8D" w:rsidP="009B4B8D">
      <w:pPr>
        <w:spacing w:line="360" w:lineRule="auto"/>
        <w:rPr>
          <w:rFonts w:ascii="Times New Roman" w:eastAsia="宋体" w:hAnsi="Times New Roman" w:cs="Times New Roman"/>
          <w:szCs w:val="21"/>
        </w:rPr>
      </w:pPr>
      <w:r w:rsidRPr="00823BDD">
        <w:rPr>
          <w:rFonts w:ascii="Times New Roman" w:eastAsia="宋体" w:hAnsi="Times New Roman" w:cs="Times New Roman"/>
          <w:szCs w:val="21"/>
        </w:rPr>
        <w:t xml:space="preserve">Liu, Y., &amp; Wang, J. (2017). The Effects of Graphic Organizers on Reading Comprehension of Chinese Middle School Students. </w:t>
      </w:r>
    </w:p>
    <w:p w:rsidR="009B4B8D" w:rsidRPr="00145524" w:rsidRDefault="009B4B8D" w:rsidP="009B4B8D">
      <w:pPr>
        <w:spacing w:line="400" w:lineRule="exact"/>
        <w:jc w:val="left"/>
        <w:rPr>
          <w:rFonts w:ascii="Times New Roman" w:eastAsia="宋体" w:hAnsi="Times New Roman" w:cs="Times New Roman"/>
          <w:b/>
          <w:sz w:val="18"/>
          <w:szCs w:val="18"/>
        </w:rPr>
      </w:pPr>
    </w:p>
    <w:p w:rsidR="009B4B8D" w:rsidRPr="001D3E46" w:rsidRDefault="009B4B8D" w:rsidP="009B4B8D"/>
    <w:p w:rsidR="00F02F13" w:rsidRPr="009B4B8D" w:rsidRDefault="00000000"/>
    <w:sectPr w:rsidR="00F02F13" w:rsidRPr="009B4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8D"/>
    <w:rsid w:val="00096D6F"/>
    <w:rsid w:val="008C525A"/>
    <w:rsid w:val="009B4B8D"/>
    <w:rsid w:val="00A0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81C4D6"/>
  <w15:chartTrackingRefBased/>
  <w15:docId w15:val="{2D9FA99D-C07D-FF4B-9FE2-6830FCFF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B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ity</dc:creator>
  <cp:keywords/>
  <dc:description/>
  <cp:lastModifiedBy>ity</cp:lastModifiedBy>
  <cp:revision>2</cp:revision>
  <dcterms:created xsi:type="dcterms:W3CDTF">2025-12-14T14:50:00Z</dcterms:created>
  <dcterms:modified xsi:type="dcterms:W3CDTF">2025-12-14T14:59:00Z</dcterms:modified>
</cp:coreProperties>
</file>