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EE41C">
      <w:pPr>
        <w:pStyle w:val="2"/>
        <w:jc w:val="center"/>
        <w:rPr>
          <w:rFonts w:hint="eastAsia" w:ascii="_x000B__x000C_" w:hAnsi="_x000B__x000C_"/>
          <w:b/>
          <w:sz w:val="48"/>
          <w:szCs w:val="48"/>
        </w:rPr>
      </w:pPr>
      <w:bookmarkStart w:id="0" w:name="OLE_LINK1"/>
      <w:r>
        <w:rPr>
          <w:rFonts w:hint="eastAsia" w:ascii="_x000B__x000C_" w:hAnsi="_x000B__x000C_"/>
          <w:b/>
          <w:sz w:val="48"/>
          <w:szCs w:val="48"/>
          <w:lang w:eastAsia="zh-CN"/>
        </w:rPr>
        <w:t>雪堰</w:t>
      </w:r>
      <w:r>
        <w:rPr>
          <w:rFonts w:hint="eastAsia" w:ascii="_x000B__x000C_" w:hAnsi="_x000B__x000C_"/>
          <w:b/>
          <w:sz w:val="48"/>
          <w:szCs w:val="48"/>
        </w:rPr>
        <w:t>中心小学集体备课记录表</w:t>
      </w:r>
    </w:p>
    <w:p w14:paraId="7FD96B4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center"/>
        <w:textAlignment w:val="auto"/>
        <w:rPr>
          <w:rFonts w:hint="default" w:ascii="_x000B__x000C_" w:hAnsi="_x000B__x000C_"/>
          <w:b/>
          <w:sz w:val="48"/>
          <w:szCs w:val="4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学科：</w:t>
      </w:r>
      <w:r>
        <w:rPr>
          <w:rFonts w:hint="eastAsia" w:eastAsia="宋体" w:cs="宋体"/>
          <w:b w:val="0"/>
          <w:bCs/>
          <w:sz w:val="28"/>
          <w:szCs w:val="28"/>
          <w:lang w:val="en-US" w:eastAsia="zh-CN"/>
        </w:rPr>
        <w:t>语文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    202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-202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第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学期   第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十六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周</w:t>
      </w:r>
    </w:p>
    <w:tbl>
      <w:tblPr>
        <w:tblStyle w:val="3"/>
        <w:tblpPr w:leftFromText="180" w:rightFromText="180" w:vertAnchor="text" w:horzAnchor="margin" w:tblpXSpec="center" w:tblpY="176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927"/>
        <w:gridCol w:w="1267"/>
        <w:gridCol w:w="1606"/>
        <w:gridCol w:w="547"/>
        <w:gridCol w:w="1260"/>
        <w:gridCol w:w="1260"/>
      </w:tblGrid>
      <w:tr w14:paraId="6AF23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7C5C521C">
            <w:pPr>
              <w:pStyle w:val="2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时  间</w:t>
            </w:r>
          </w:p>
        </w:tc>
        <w:tc>
          <w:tcPr>
            <w:tcW w:w="1927" w:type="dxa"/>
            <w:tcBorders>
              <w:left w:val="inset" w:color="auto" w:sz="6" w:space="0"/>
            </w:tcBorders>
            <w:noWrap w:val="0"/>
            <w:vAlign w:val="top"/>
          </w:tcPr>
          <w:p w14:paraId="0EC26DFE">
            <w:pPr>
              <w:pStyle w:val="2"/>
              <w:wordWrap w:val="0"/>
              <w:jc w:val="both"/>
              <w:rPr>
                <w:rFonts w:hint="default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 w:val="0"/>
                <w:bCs/>
                <w:sz w:val="28"/>
                <w:szCs w:val="28"/>
                <w:lang w:val="en-US" w:eastAsia="zh-CN"/>
              </w:rPr>
              <w:t>2025、12、15</w:t>
            </w:r>
          </w:p>
        </w:tc>
        <w:tc>
          <w:tcPr>
            <w:tcW w:w="1267" w:type="dxa"/>
            <w:tcBorders>
              <w:left w:val="inset" w:color="auto" w:sz="6" w:space="0"/>
            </w:tcBorders>
            <w:noWrap w:val="0"/>
            <w:vAlign w:val="top"/>
          </w:tcPr>
          <w:p w14:paraId="3085A57F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地点</w:t>
            </w:r>
          </w:p>
        </w:tc>
        <w:tc>
          <w:tcPr>
            <w:tcW w:w="2153" w:type="dxa"/>
            <w:gridSpan w:val="2"/>
            <w:tcBorders>
              <w:left w:val="inset" w:color="auto" w:sz="6" w:space="0"/>
            </w:tcBorders>
            <w:noWrap w:val="0"/>
            <w:vAlign w:val="top"/>
          </w:tcPr>
          <w:p w14:paraId="16EF2808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办公室</w:t>
            </w:r>
          </w:p>
        </w:tc>
        <w:tc>
          <w:tcPr>
            <w:tcW w:w="1260" w:type="dxa"/>
            <w:tcBorders>
              <w:left w:val="inset" w:color="auto" w:sz="6" w:space="0"/>
            </w:tcBorders>
            <w:noWrap w:val="0"/>
            <w:vAlign w:val="top"/>
          </w:tcPr>
          <w:p w14:paraId="03477479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次数</w:t>
            </w:r>
          </w:p>
        </w:tc>
        <w:tc>
          <w:tcPr>
            <w:tcW w:w="1260" w:type="dxa"/>
            <w:tcBorders>
              <w:left w:val="inset" w:color="auto" w:sz="6" w:space="0"/>
            </w:tcBorders>
            <w:noWrap w:val="0"/>
            <w:vAlign w:val="top"/>
          </w:tcPr>
          <w:p w14:paraId="774E19E8">
            <w:pPr>
              <w:pStyle w:val="2"/>
              <w:wordWrap w:val="0"/>
              <w:jc w:val="center"/>
              <w:rPr>
                <w:rFonts w:hint="eastAsia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 w:val="0"/>
                <w:bCs/>
                <w:sz w:val="28"/>
                <w:szCs w:val="28"/>
                <w:lang w:val="en-US" w:eastAsia="zh-CN"/>
              </w:rPr>
              <w:t>1</w:t>
            </w:r>
          </w:p>
        </w:tc>
      </w:tr>
      <w:tr w14:paraId="58782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7B8F414B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主讲人</w:t>
            </w:r>
          </w:p>
        </w:tc>
        <w:tc>
          <w:tcPr>
            <w:tcW w:w="3194" w:type="dxa"/>
            <w:gridSpan w:val="2"/>
            <w:tcBorders>
              <w:left w:val="inset" w:color="auto" w:sz="6" w:space="0"/>
              <w:right w:val="single" w:color="auto" w:sz="4" w:space="0"/>
            </w:tcBorders>
            <w:noWrap w:val="0"/>
            <w:vAlign w:val="center"/>
          </w:tcPr>
          <w:p w14:paraId="7BA0F6B1">
            <w:pPr>
              <w:pStyle w:val="2"/>
              <w:ind w:firstLine="686" w:firstLineChars="245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_x000B__x000C_" w:hAnsi="_x000B__x000C_"/>
                <w:b w:val="0"/>
                <w:bCs/>
                <w:sz w:val="28"/>
                <w:szCs w:val="28"/>
                <w:lang w:val="en-US" w:eastAsia="zh-CN"/>
              </w:rPr>
              <w:t>董育兰</w:t>
            </w:r>
          </w:p>
        </w:tc>
        <w:tc>
          <w:tcPr>
            <w:tcW w:w="1606" w:type="dxa"/>
            <w:tcBorders>
              <w:left w:val="thinThickLargeGap" w:color="auto" w:sz="4" w:space="0"/>
              <w:bottom w:val="thinThickLargeGap" w:color="auto" w:sz="0" w:space="0"/>
              <w:right w:val="single" w:color="auto" w:sz="0" w:space="0"/>
            </w:tcBorders>
            <w:noWrap w:val="0"/>
            <w:vAlign w:val="top"/>
          </w:tcPr>
          <w:p w14:paraId="46AA8AAF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记录员</w:t>
            </w:r>
          </w:p>
        </w:tc>
        <w:tc>
          <w:tcPr>
            <w:tcW w:w="3067" w:type="dxa"/>
            <w:gridSpan w:val="3"/>
            <w:tcBorders>
              <w:top w:val="double" w:color="auto" w:sz="0" w:space="0"/>
              <w:left w:val="single" w:color="auto" w:sz="4" w:space="0"/>
              <w:bottom w:val="single" w:color="auto" w:sz="0" w:space="0"/>
              <w:right w:val="dashSmallGap" w:color="auto" w:sz="0" w:space="0"/>
            </w:tcBorders>
            <w:noWrap w:val="0"/>
            <w:vAlign w:val="center"/>
          </w:tcPr>
          <w:p w14:paraId="7B1DDB45">
            <w:pPr>
              <w:pStyle w:val="2"/>
              <w:wordWrap w:val="0"/>
              <w:jc w:val="center"/>
              <w:rPr>
                <w:rFonts w:hint="default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 w:val="0"/>
                <w:bCs/>
                <w:sz w:val="28"/>
                <w:szCs w:val="28"/>
                <w:lang w:val="en-US" w:eastAsia="zh-CN"/>
              </w:rPr>
              <w:t>吴宸娴</w:t>
            </w:r>
          </w:p>
        </w:tc>
      </w:tr>
      <w:tr w14:paraId="2702C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28697657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参加人员</w:t>
            </w:r>
          </w:p>
        </w:tc>
        <w:tc>
          <w:tcPr>
            <w:tcW w:w="7867" w:type="dxa"/>
            <w:gridSpan w:val="6"/>
            <w:tcBorders>
              <w:left w:val="inset" w:color="auto" w:sz="6" w:space="0"/>
            </w:tcBorders>
            <w:noWrap w:val="0"/>
            <w:vAlign w:val="top"/>
          </w:tcPr>
          <w:p w14:paraId="0BBBC2A5">
            <w:pPr>
              <w:pStyle w:val="2"/>
              <w:wordWrap w:val="0"/>
              <w:jc w:val="center"/>
              <w:rPr>
                <w:rFonts w:hint="default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 w:val="0"/>
                <w:bCs/>
                <w:sz w:val="28"/>
                <w:szCs w:val="28"/>
                <w:lang w:val="en-US" w:eastAsia="zh-CN"/>
              </w:rPr>
              <w:t xml:space="preserve">    陈玲霞   吴乔伊 郭静  杨晓 </w:t>
            </w:r>
            <w:r>
              <w:rPr>
                <w:rFonts w:hint="eastAsia"/>
                <w:lang w:val="en-US" w:eastAsia="zh-CN"/>
              </w:rPr>
              <w:t>钱洪波</w:t>
            </w:r>
            <w:r>
              <w:rPr>
                <w:rFonts w:hint="eastAsia" w:ascii="_x000B__x000C_" w:hAnsi="_x000B__x000C_"/>
                <w:b w:val="0"/>
                <w:bCs/>
                <w:sz w:val="28"/>
                <w:szCs w:val="28"/>
                <w:lang w:val="en-US" w:eastAsia="zh-CN"/>
              </w:rPr>
              <w:t xml:space="preserve">  陆彩红</w:t>
            </w:r>
          </w:p>
        </w:tc>
      </w:tr>
      <w:tr w14:paraId="3B8A5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79857AE0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研讨主题</w:t>
            </w:r>
          </w:p>
        </w:tc>
        <w:tc>
          <w:tcPr>
            <w:tcW w:w="7867" w:type="dxa"/>
            <w:gridSpan w:val="6"/>
            <w:tcBorders>
              <w:left w:val="inset" w:color="auto" w:sz="6" w:space="0"/>
            </w:tcBorders>
            <w:noWrap w:val="0"/>
            <w:vAlign w:val="center"/>
          </w:tcPr>
          <w:p w14:paraId="23631283">
            <w:pPr>
              <w:pStyle w:val="2"/>
              <w:wordWrap w:val="0"/>
              <w:ind w:firstLine="720" w:firstLineChars="300"/>
              <w:jc w:val="both"/>
              <w:rPr>
                <w:rFonts w:hint="default" w:ascii="_x000B__x000C_" w:hAnsi="_x000B__x000C_" w:eastAsia="宋体"/>
                <w:b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写景类精读课文的教学策略比较与融合</w:t>
            </w:r>
          </w:p>
        </w:tc>
      </w:tr>
      <w:tr w14:paraId="22885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7" w:hRule="atLeast"/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035FB892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6BC83C9F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过</w:t>
            </w:r>
          </w:p>
          <w:p w14:paraId="086C1347">
            <w:pPr>
              <w:pStyle w:val="2"/>
              <w:wordWrap w:val="0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239925FA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程</w:t>
            </w:r>
          </w:p>
          <w:p w14:paraId="565DAFF1">
            <w:pPr>
              <w:pStyle w:val="2"/>
              <w:wordWrap w:val="0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34485C6E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记</w:t>
            </w:r>
          </w:p>
          <w:p w14:paraId="57B8B042">
            <w:pPr>
              <w:pStyle w:val="2"/>
              <w:wordWrap w:val="0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1C0B028E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录</w:t>
            </w:r>
          </w:p>
        </w:tc>
        <w:tc>
          <w:tcPr>
            <w:tcW w:w="7867" w:type="dxa"/>
            <w:gridSpan w:val="6"/>
            <w:tcBorders>
              <w:left w:val="inset" w:color="auto" w:sz="6" w:space="0"/>
            </w:tcBorders>
            <w:noWrap w:val="0"/>
            <w:vAlign w:val="top"/>
          </w:tcPr>
          <w:p w14:paraId="03898DD4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7C26531E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一、 教材分析与文本定位（主持人李老师引述）</w:t>
            </w:r>
          </w:p>
          <w:p w14:paraId="02441410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陈老师：各位老师，今天我们围绕第六单元《壮丽的祖国山河》中的《美丽的小兴安岭》和《东方之珠》单元（或相应单元）中的《香港，璀璨的明珠》两篇精读课文进行集体备课。这两篇课文文体相近，都是写景抒情散文，但描写的对象、角度和情感基调有显著差异，为我们进行对比教学、丰富学生审美体验和表达方法提供了很好的素材。</w:t>
            </w:r>
          </w:p>
          <w:p w14:paraId="4441D435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吴老师：是的。《美丽的小兴安岭》以时间为序（春夏秋冬），通过对森林四季景色的细腻描绘，突出小兴安岭的“美丽”与“富饶”，语言优美、意境宁静，充满对自然之美的热爱与赞美，风格清新、细腻。 陈老师：《香港，璀璨的明珠》则偏重于从多个维度（如“万国市场”、“美食天堂”、“旅游胜地”、“灯的海洋”等）展现香港作为国际大都市的繁华、活力与多元文化，语言富有现代感和节奏感，充满自豪与向往之情，风格华丽、明快。</w:t>
            </w:r>
          </w:p>
          <w:p w14:paraId="161405DE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二、 核心教学目标探讨</w:t>
            </w:r>
          </w:p>
          <w:p w14:paraId="4CF914A5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郭老师：基于课标和单元目标，两课的共同核心目标可以设定为：</w:t>
            </w:r>
          </w:p>
          <w:p w14:paraId="7C9EEBF2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1. 语言构建与运用： 积累优美词句，学习抓住景物特点进行描写的方法。</w:t>
            </w:r>
          </w:p>
          <w:p w14:paraId="16562FC6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2. 思维发展与提升： 理清文章叙述顺序或结构层次，培养观察、比较与概括能力。</w:t>
            </w:r>
          </w:p>
          <w:p w14:paraId="0C182E5D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3. 审美鉴赏与创造： 感受自然景观与都市风光的各异其美，激发爱国情感与审美情趣。</w:t>
            </w:r>
          </w:p>
          <w:p w14:paraId="4393B4E4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4. 文化传承与理解： 初步体悟文中蕴含的对祖国山河的热爱、对多元文化的包容。</w:t>
            </w:r>
          </w:p>
          <w:p w14:paraId="10F69177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杨老师：差异化的教学侧重点也需要明确。</w:t>
            </w:r>
          </w:p>
          <w:p w14:paraId="7602A9FC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· 《美丽的小兴安岭》：</w:t>
            </w:r>
          </w:p>
          <w:p w14:paraId="10ED92F0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· 重点学习按时间顺序（季节变化） 组织材料的方法。</w:t>
            </w:r>
          </w:p>
          <w:p w14:paraId="3C968C39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· 体会静态与动态结合、细节描写（如树木抽枝、积雪融化、动物活动）展现景物特点的写法。</w:t>
            </w:r>
          </w:p>
          <w:p w14:paraId="0F995604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· 聚焦“美丽”与“富饶”的核心特点，感受语言的生动形象与画面感。</w:t>
            </w:r>
          </w:p>
          <w:p w14:paraId="44CB1BB0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· 《香港，璀璨的明珠》：</w:t>
            </w:r>
          </w:p>
          <w:p w14:paraId="0314FDF0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· 重点学习围绕中心句，从不同方面（商业、美食、旅游、夜景）介绍一个地方的总分或并列结构。</w:t>
            </w:r>
          </w:p>
          <w:p w14:paraId="3B894B90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· 体会概括描写与典型举例结合（如列举商品、美食、景点）、运用比喻等修辞（如“灯的海洋”）表现繁华与魅力的方法。</w:t>
            </w:r>
          </w:p>
          <w:p w14:paraId="07304E6F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· 理解“璀璨”、“明珠”的象征意义，感受语言的凝练与富有感染力。</w:t>
            </w:r>
          </w:p>
          <w:p w14:paraId="10E27E86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三、 教学策略与活动设计比较</w:t>
            </w:r>
          </w:p>
          <w:p w14:paraId="2FD01484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陆老师：在导入环节，《美丽的小兴安岭》可以利用四季风景图片或视频，引导学生进入宁静广袤的森林意境；《香港，璀璨的明珠》则可以用标志性建筑、繁华街景、璀璨夜景的短片或歌曲《东方之珠》导入，营造现代化、国际化的氛围。</w:t>
            </w:r>
          </w:p>
          <w:p w14:paraId="32392D2F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董老师：在整体感知环节，可以设计不同的梳理任务。《美丽的小兴安岭》可以用“绘制四季美景图”或填写“小兴安岭四季景物特点表”；《香港，璀璨的明珠》则适合用“为香港制作一张名片”或“梳理香港的魅力标签”来把握文章多角度描写的结构。</w:t>
            </w:r>
          </w:p>
          <w:p w14:paraId="29BCD4A0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钱老师：在精读品析环节，要抓住关键句段。《美丽的小兴安岭》重点品析如“春天，树木抽出新的枝条……”等充满生命力的细节描写，学习如何写出景物的变化与生机。《香港，璀璨的明珠》则重点品析如“港湾里闪耀的灯光……像一串流动的珍珠”等比喻句，学习如何形象地概括和赞美都市风貌。</w:t>
            </w:r>
          </w:p>
          <w:p w14:paraId="45389296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吴老师：朗读指导也需因文而异。《美丽的小兴安岭》宜用舒缓、欣赏的语调，读出四季不同的韵味和宁静之美；《香港，璀璨的明珠》宜用明快、自豪、略带兴奋的语调，读出繁华、活力与赞美之情。</w:t>
            </w:r>
          </w:p>
          <w:p w14:paraId="67618DBB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董老师：拓展延伸可以有机结合。《美丽的小兴安岭》课后可引导观察校园或家乡某一景物的四季变化，进行片段练笔。《香港，璀璨的明珠》课后可搜集资料，尝试用“从……到……”或“围绕中心句”的方式，介绍自己熟悉的一个城市或区域的特点。</w:t>
            </w:r>
          </w:p>
          <w:p w14:paraId="3E6ED867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3122BD7C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四、 可能的融合点与迁移运用</w:t>
            </w:r>
          </w:p>
          <w:p w14:paraId="524FCB7E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杨老师：我们可以在两课教学后，设计一个小的综合性学习或写作任务，实现能力的迁移。例如：</w:t>
            </w:r>
          </w:p>
          <w:p w14:paraId="6E79B691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1. 对比阅读讨论： 组织学生讨论“同是写地方，两篇文章在写法上有什么不同？你更喜欢哪种美？为什么？”深化对写景方法的理解。</w:t>
            </w:r>
          </w:p>
          <w:p w14:paraId="6D5F332D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2. “我的家乡名片”制作活动： 借鉴《香港，璀璨的明珠》的多角度结构，同时学习《美丽的小兴安岭》的细致观察，为自己家乡设计一张图文并茂的“名片”，从自然风光、物产、文化、美食等方面进行介绍。</w:t>
            </w:r>
          </w:p>
          <w:p w14:paraId="4FE2B4FE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3. 写法迁移练笔： 给定主题如“热闹的广场”或“宁静的公园”，让学生选择运用“按时间顺序描绘变化”或“从不同方面进行介绍”的方法进行习作练习。</w:t>
            </w:r>
          </w:p>
          <w:p w14:paraId="0AF04E47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五、 总结与共识</w:t>
            </w:r>
          </w:p>
          <w:p w14:paraId="5583E0A6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主持人总结： 通过今天的研讨，我们对这两篇写景课文的教学有了更清晰、更深入的把握。总结如下：</w:t>
            </w:r>
          </w:p>
          <w:p w14:paraId="68C31D02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bookmarkStart w:id="1" w:name="_GoBack"/>
            <w:bookmarkEnd w:id="1"/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1. 明确异同，精准定位： 教学中既要看到两课在“写景抒情”上的共性目标，更要紧扣它们在描写对象、结构顺序、语言风格和情感表达上的独特之处，实施差异化教学。</w:t>
            </w:r>
          </w:p>
          <w:p w14:paraId="6D525B49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2. 聚焦语用，习得方法： 牢牢抓住语言文字的运用，引导学生发现、揣摩、学习并尝试运用不同的写景方法与表达技巧。</w:t>
            </w:r>
          </w:p>
          <w:p w14:paraId="3AF90234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3. 创设情境，升华情感： 通过多样化的教学活动，创设沉浸式体验情境，让学生在品读中自然生发对祖国多样风光和文化的热爱之情。</w:t>
            </w:r>
          </w:p>
          <w:p w14:paraId="66340481">
            <w:pPr>
              <w:spacing w:line="400" w:lineRule="exact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4. 注重迁移，提升能力： 设计恰当的读写结合点或综合性活动，促进学生将阅读中学到的方法转化为表达能力。</w:t>
            </w:r>
          </w:p>
        </w:tc>
      </w:tr>
      <w:bookmarkEnd w:id="0"/>
    </w:tbl>
    <w:p w14:paraId="2E2571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62FB4"/>
    <w:rsid w:val="0A6E1409"/>
    <w:rsid w:val="0BAC30CE"/>
    <w:rsid w:val="0E5C414B"/>
    <w:rsid w:val="1A67270E"/>
    <w:rsid w:val="1A8C743C"/>
    <w:rsid w:val="26F533DD"/>
    <w:rsid w:val="29E24C07"/>
    <w:rsid w:val="35062072"/>
    <w:rsid w:val="36B35A41"/>
    <w:rsid w:val="423E0B06"/>
    <w:rsid w:val="47E40D60"/>
    <w:rsid w:val="4B895879"/>
    <w:rsid w:val="51774F50"/>
    <w:rsid w:val="5EA3610E"/>
    <w:rsid w:val="64A53B56"/>
    <w:rsid w:val="66506631"/>
    <w:rsid w:val="6F6410A3"/>
    <w:rsid w:val="71A52C1A"/>
    <w:rsid w:val="73037B20"/>
    <w:rsid w:val="772E419F"/>
    <w:rsid w:val="7B643625"/>
    <w:rsid w:val="7E6B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2384</Words>
  <Characters>2404</Characters>
  <Lines>0</Lines>
  <Paragraphs>0</Paragraphs>
  <TotalTime>8</TotalTime>
  <ScaleCrop>false</ScaleCrop>
  <LinksUpToDate>false</LinksUpToDate>
  <CharactersWithSpaces>2452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2025-02-25T02:39:00Z</dcterms:created>
  <dc:creator>www39</dc:creator>
  <cp:lastModifiedBy>Administrator</cp:lastModifiedBy>
  <dcterms:modified xsi:type="dcterms:W3CDTF">2025-12-15T02:38:46Z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eyJoZGlkIjoiNGYwYmJhNTgwMDkxMjdiZjhhMjg0NWZjZmViYzJkOWYifQ==</vt:lpwstr>
  </property>
  <property fmtid="{D5CDD505-2E9C-101B-9397-08002B2CF9AE}" pid="4" name="ICV">
    <vt:lpwstr>38CFDB8E81454349922E73BC30023239_12</vt:lpwstr>
  </property>
</Properties>
</file>