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0B0EA">
      <w:pPr>
        <w:spacing w:line="276" w:lineRule="auto"/>
        <w:ind w:firstLine="600" w:firstLineChars="200"/>
        <w:jc w:val="center"/>
        <w:rPr>
          <w:rFonts w:hint="eastAsia" w:ascii="宋体" w:hAnsi="宋体" w:eastAsia="宋体"/>
          <w:sz w:val="30"/>
          <w:szCs w:val="30"/>
        </w:rPr>
      </w:pPr>
      <w:r>
        <w:rPr>
          <w:rFonts w:hint="eastAsia" w:ascii="宋体" w:hAnsi="宋体" w:eastAsia="宋体"/>
          <w:sz w:val="30"/>
          <w:szCs w:val="30"/>
        </w:rPr>
        <w:t>智能技术重塑体育教学新样态</w:t>
      </w:r>
    </w:p>
    <w:p w14:paraId="5FFF37E8">
      <w:pPr>
        <w:spacing w:line="276" w:lineRule="auto"/>
        <w:ind w:firstLine="960" w:firstLineChars="400"/>
        <w:rPr>
          <w:rFonts w:hint="eastAsia" w:ascii="宋体" w:hAnsi="宋体" w:eastAsia="宋体"/>
          <w:sz w:val="24"/>
        </w:rPr>
      </w:pPr>
      <w:r>
        <w:rPr>
          <w:rFonts w:hint="eastAsia" w:ascii="宋体" w:hAnsi="宋体" w:eastAsia="宋体"/>
          <w:sz w:val="24"/>
        </w:rPr>
        <w:t xml:space="preserve">  ---记新北区小学体育孙建顺优秀教师培育室第52次活动报道</w:t>
      </w:r>
    </w:p>
    <w:p w14:paraId="7C73C358">
      <w:pPr>
        <w:spacing w:line="276" w:lineRule="auto"/>
        <w:ind w:firstLine="480" w:firstLineChars="200"/>
        <w:rPr>
          <w:rFonts w:ascii="宋体" w:hAnsi="宋体" w:eastAsia="宋体"/>
          <w:sz w:val="24"/>
        </w:rPr>
      </w:pPr>
      <w:r>
        <w:rPr>
          <w:rFonts w:hint="eastAsia" w:ascii="宋体" w:hAnsi="宋体" w:eastAsia="宋体"/>
          <w:sz w:val="24"/>
        </w:rPr>
        <w:t>为深化体育教学改革，落实《2022版体育与健康课程标准》要求，聚焦核心素养导向的课堂转型，2025年12月10日，新北区小学体育孙建顺优秀教师培育室联合武进区学校和教师发展中心</w:t>
      </w:r>
      <w:r>
        <w:rPr>
          <w:rFonts w:hint="eastAsia" w:ascii="宋体" w:hAnsi="宋体" w:eastAsia="宋体"/>
          <w:sz w:val="24"/>
          <w:lang w:eastAsia="zh-CN"/>
        </w:rPr>
        <w:t>和</w:t>
      </w:r>
      <w:r>
        <w:rPr>
          <w:rFonts w:hint="eastAsia" w:ascii="宋体" w:hAnsi="宋体" w:eastAsia="宋体"/>
          <w:sz w:val="24"/>
        </w:rPr>
        <w:t>常州市小学体育孙建顺名师工作室，在武进区牛塘中心小学开展</w:t>
      </w:r>
      <w:r>
        <w:rPr>
          <w:rFonts w:hint="eastAsia" w:ascii="宋体" w:hAnsi="宋体" w:eastAsia="宋体"/>
          <w:sz w:val="24"/>
          <w:lang w:eastAsia="zh-CN"/>
        </w:rPr>
        <w:t>“科技赋能体育教学”</w:t>
      </w:r>
      <w:r>
        <w:rPr>
          <w:rFonts w:hint="eastAsia" w:ascii="宋体" w:hAnsi="宋体" w:eastAsia="宋体"/>
          <w:sz w:val="24"/>
        </w:rPr>
        <w:t>专题研讨活动。本次活动以“智能技术重塑体育教学新样态”为主题，通过课堂展示、师德分享与专家讲座三大环节，共同探索科技赋能下体育教学的新路径。</w:t>
      </w:r>
    </w:p>
    <w:p w14:paraId="3848BCDB">
      <w:pPr>
        <w:spacing w:line="276" w:lineRule="auto"/>
        <w:rPr>
          <w:rFonts w:hint="eastAsia" w:ascii="宋体" w:hAnsi="宋体" w:eastAsia="宋体"/>
          <w:sz w:val="24"/>
        </w:rPr>
      </w:pPr>
      <w:r>
        <w:drawing>
          <wp:inline distT="0" distB="0" distL="114300" distR="114300">
            <wp:extent cx="5266690" cy="2626360"/>
            <wp:effectExtent l="0" t="0" r="10160" b="2540"/>
            <wp:docPr id="8" name="图片 8" descr="-20352277742101670601.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352277742101670601.suf"/>
                    <pic:cNvPicPr>
                      <a:picLocks noChangeAspect="1"/>
                    </pic:cNvPicPr>
                  </pic:nvPicPr>
                  <pic:blipFill>
                    <a:blip r:embed="rId6"/>
                    <a:stretch>
                      <a:fillRect/>
                    </a:stretch>
                  </pic:blipFill>
                  <pic:spPr>
                    <a:xfrm>
                      <a:off x="0" y="0"/>
                      <a:ext cx="5266690" cy="2626360"/>
                    </a:xfrm>
                    <a:prstGeom prst="rect">
                      <a:avLst/>
                    </a:prstGeom>
                  </pic:spPr>
                </pic:pic>
              </a:graphicData>
            </a:graphic>
          </wp:inline>
        </w:drawing>
      </w:r>
    </w:p>
    <w:p w14:paraId="001A14BD">
      <w:pPr>
        <w:spacing w:line="276" w:lineRule="auto"/>
        <w:ind w:firstLine="480" w:firstLineChars="200"/>
        <w:rPr>
          <w:rFonts w:hint="eastAsia" w:ascii="宋体" w:hAnsi="宋体" w:eastAsia="宋体"/>
          <w:sz w:val="24"/>
        </w:rPr>
      </w:pPr>
      <w:r>
        <w:rPr>
          <w:rFonts w:hint="eastAsia" w:ascii="宋体" w:hAnsi="宋体" w:eastAsia="宋体"/>
          <w:sz w:val="24"/>
        </w:rPr>
        <w:t>一、课堂展示：有效设计，生动课堂</w:t>
      </w:r>
    </w:p>
    <w:p w14:paraId="4F2C88A2">
      <w:pPr>
        <w:spacing w:line="276" w:lineRule="auto"/>
        <w:ind w:firstLine="480" w:firstLineChars="200"/>
        <w:rPr>
          <w:rFonts w:ascii="宋体" w:hAnsi="宋体" w:eastAsia="宋体"/>
          <w:sz w:val="24"/>
        </w:rPr>
      </w:pPr>
      <w:r>
        <w:rPr>
          <w:rFonts w:hint="eastAsia" w:ascii="宋体" w:hAnsi="宋体" w:eastAsia="宋体"/>
          <w:sz w:val="24"/>
          <w:lang w:eastAsia="zh-CN"/>
        </w:rPr>
        <w:t>武进区</w:t>
      </w:r>
      <w:r>
        <w:rPr>
          <w:rFonts w:hint="eastAsia" w:ascii="宋体" w:hAnsi="宋体" w:eastAsia="宋体"/>
          <w:sz w:val="24"/>
        </w:rPr>
        <w:t>牛塘中心小学卢祥龙老师执教水平三五年级《小篮球：换手变向运球与比赛》。课程以“运运停”“运运变”等口令分解动作要领，引导学生从原地探肩、交叉步蹬跨转体到行进间突破逐步掌握技能。通过“猫捉老鼠”游戏、1V1攻防练习以及2V2、3V3实战赛，学生在趣味对抗中灵活运用技术，团队协作能力与篮球兴趣同步提升。</w:t>
      </w:r>
    </w:p>
    <w:p w14:paraId="706982BE">
      <w:pPr>
        <w:spacing w:line="276" w:lineRule="auto"/>
        <w:rPr>
          <w:rFonts w:hint="eastAsia" w:ascii="宋体" w:hAnsi="宋体" w:eastAsia="宋体"/>
          <w:sz w:val="24"/>
        </w:rPr>
      </w:pPr>
      <w:r>
        <w:rPr>
          <w:sz w:val="24"/>
          <w:szCs w:val="32"/>
        </w:rPr>
        <w:drawing>
          <wp:inline distT="0" distB="0" distL="114300" distR="114300">
            <wp:extent cx="5266690" cy="2816225"/>
            <wp:effectExtent l="0" t="0" r="10160" b="3175"/>
            <wp:docPr id="7" name="图片 7" descr="-2035227774-1094394269.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35227774-1094394269.suf"/>
                    <pic:cNvPicPr>
                      <a:picLocks noChangeAspect="1"/>
                    </pic:cNvPicPr>
                  </pic:nvPicPr>
                  <pic:blipFill>
                    <a:blip r:embed="rId7"/>
                    <a:stretch>
                      <a:fillRect/>
                    </a:stretch>
                  </pic:blipFill>
                  <pic:spPr>
                    <a:xfrm>
                      <a:off x="0" y="0"/>
                      <a:ext cx="5266690" cy="2816225"/>
                    </a:xfrm>
                    <a:prstGeom prst="rect">
                      <a:avLst/>
                    </a:prstGeom>
                  </pic:spPr>
                </pic:pic>
              </a:graphicData>
            </a:graphic>
          </wp:inline>
        </w:drawing>
      </w:r>
    </w:p>
    <w:p w14:paraId="7BD680A2">
      <w:pPr>
        <w:spacing w:line="276" w:lineRule="auto"/>
        <w:ind w:firstLine="480" w:firstLineChars="200"/>
        <w:rPr>
          <w:rFonts w:ascii="宋体" w:hAnsi="宋体" w:eastAsia="宋体"/>
          <w:sz w:val="24"/>
        </w:rPr>
      </w:pPr>
      <w:r>
        <w:rPr>
          <w:rFonts w:hint="eastAsia" w:ascii="宋体" w:hAnsi="宋体" w:eastAsia="宋体"/>
          <w:sz w:val="24"/>
        </w:rPr>
        <w:t>新北区安家中心小学马伟斌老师执教水平二四年级《篮球：行进间直线运球》。课堂贴合学生特点，以“情境体验+任务驱动”为主线，通过“篮球报数”“石头剪刀布运球换位”等游戏激活兴趣，并设计“一步一运→两步一运→变节奏运球”的梯度练习，结合“夺点游戏”“翻牌比赛”等环节，将运球要点融入挑战，有效突破手脚协调难点，提升学练实效。</w:t>
      </w:r>
    </w:p>
    <w:p w14:paraId="370C5C22">
      <w:pPr>
        <w:spacing w:line="276" w:lineRule="auto"/>
        <w:rPr>
          <w:rFonts w:hint="eastAsia" w:ascii="宋体" w:hAnsi="宋体" w:eastAsia="宋体"/>
          <w:sz w:val="24"/>
        </w:rPr>
      </w:pPr>
      <w:r>
        <w:rPr>
          <w:rFonts w:hint="eastAsia"/>
          <w:sz w:val="24"/>
          <w:szCs w:val="32"/>
        </w:rPr>
        <w:drawing>
          <wp:inline distT="0" distB="0" distL="114300" distR="114300">
            <wp:extent cx="5266690" cy="2825115"/>
            <wp:effectExtent l="0" t="0" r="10160" b="13335"/>
            <wp:docPr id="6" name="图片 6" descr="-2035227774964826475.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35227774964826475.suf"/>
                    <pic:cNvPicPr>
                      <a:picLocks noChangeAspect="1"/>
                    </pic:cNvPicPr>
                  </pic:nvPicPr>
                  <pic:blipFill>
                    <a:blip r:embed="rId8"/>
                    <a:stretch>
                      <a:fillRect/>
                    </a:stretch>
                  </pic:blipFill>
                  <pic:spPr>
                    <a:xfrm>
                      <a:off x="0" y="0"/>
                      <a:ext cx="5266690" cy="2825115"/>
                    </a:xfrm>
                    <a:prstGeom prst="rect">
                      <a:avLst/>
                    </a:prstGeom>
                  </pic:spPr>
                </pic:pic>
              </a:graphicData>
            </a:graphic>
          </wp:inline>
        </w:drawing>
      </w:r>
    </w:p>
    <w:p w14:paraId="1498DDAB">
      <w:pPr>
        <w:spacing w:line="276" w:lineRule="auto"/>
        <w:ind w:firstLine="480" w:firstLineChars="200"/>
        <w:rPr>
          <w:rFonts w:ascii="宋体" w:hAnsi="宋体" w:eastAsia="宋体"/>
          <w:sz w:val="24"/>
        </w:rPr>
      </w:pPr>
      <w:r>
        <w:rPr>
          <w:rFonts w:hint="eastAsia" w:ascii="宋体" w:hAnsi="宋体" w:eastAsia="宋体"/>
          <w:sz w:val="24"/>
        </w:rPr>
        <w:t>新北区河海实验小学李艺倩老师执教水平一二年级《不同形式的垫步跳与游戏》。课堂以《疯狂动物城2》为情境，贯穿“招募警察→追踪任务→穿越物城→运输物资”的冒险主线。学生借助“垫步跳秘籍”口诀，通过个人练习、双人配合到小组闯关，逐步掌握垫步与跳跃的衔接，并在创编展示中激发身体能动与创新意识。</w:t>
      </w:r>
    </w:p>
    <w:p w14:paraId="088A914A">
      <w:pPr>
        <w:spacing w:line="276" w:lineRule="auto"/>
        <w:rPr>
          <w:rFonts w:ascii="宋体" w:hAnsi="宋体" w:eastAsia="宋体"/>
          <w:sz w:val="24"/>
        </w:rPr>
      </w:pPr>
    </w:p>
    <w:p w14:paraId="4D4526AF">
      <w:pPr>
        <w:spacing w:line="276" w:lineRule="auto"/>
        <w:rPr>
          <w:rFonts w:hint="eastAsia" w:ascii="宋体" w:hAnsi="宋体" w:eastAsia="宋体"/>
          <w:sz w:val="24"/>
        </w:rPr>
      </w:pPr>
      <w:r>
        <w:rPr>
          <w:rFonts w:hint="eastAsia"/>
          <w:sz w:val="24"/>
          <w:szCs w:val="32"/>
        </w:rPr>
        <w:drawing>
          <wp:inline distT="0" distB="0" distL="114300" distR="114300">
            <wp:extent cx="5266690" cy="2782570"/>
            <wp:effectExtent l="0" t="0" r="10160" b="17780"/>
            <wp:docPr id="4" name="图片 4" descr="Image_176534792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_1765347922633"/>
                    <pic:cNvPicPr>
                      <a:picLocks noChangeAspect="1"/>
                    </pic:cNvPicPr>
                  </pic:nvPicPr>
                  <pic:blipFill>
                    <a:blip r:embed="rId9"/>
                    <a:stretch>
                      <a:fillRect/>
                    </a:stretch>
                  </pic:blipFill>
                  <pic:spPr>
                    <a:xfrm>
                      <a:off x="0" y="0"/>
                      <a:ext cx="5266690" cy="2782570"/>
                    </a:xfrm>
                    <a:prstGeom prst="rect">
                      <a:avLst/>
                    </a:prstGeom>
                  </pic:spPr>
                </pic:pic>
              </a:graphicData>
            </a:graphic>
          </wp:inline>
        </w:drawing>
      </w:r>
    </w:p>
    <w:p w14:paraId="477CA67D">
      <w:pPr>
        <w:spacing w:line="276" w:lineRule="auto"/>
        <w:ind w:firstLine="480" w:firstLineChars="200"/>
        <w:rPr>
          <w:rFonts w:hint="eastAsia" w:ascii="宋体" w:hAnsi="宋体" w:eastAsia="宋体"/>
          <w:sz w:val="24"/>
        </w:rPr>
      </w:pPr>
      <w:r>
        <w:rPr>
          <w:rFonts w:hint="eastAsia" w:ascii="宋体" w:hAnsi="宋体" w:eastAsia="宋体"/>
          <w:sz w:val="24"/>
        </w:rPr>
        <w:t>二、研讨交流：思维碰撞，共研共进</w:t>
      </w:r>
    </w:p>
    <w:p w14:paraId="25BE0F92">
      <w:pPr>
        <w:spacing w:line="276" w:lineRule="auto"/>
        <w:ind w:firstLine="480" w:firstLineChars="200"/>
        <w:rPr>
          <w:rFonts w:ascii="宋体" w:hAnsi="宋体" w:eastAsia="宋体"/>
          <w:sz w:val="24"/>
        </w:rPr>
      </w:pPr>
      <w:r>
        <w:rPr>
          <w:rFonts w:hint="eastAsia" w:ascii="宋体" w:hAnsi="宋体" w:eastAsia="宋体"/>
          <w:sz w:val="24"/>
        </w:rPr>
        <w:t>观课结束后，全体教师齐聚报告厅开展深度评课。三位执教教师细致阐述设计思路与教学反思，来自新北区新桥二小的柳阳老师、新北区春江中心小学谈煜棋和湖塘桥第二实验小学周方圆老师分别围绕目标达成、方法优化、学生参与等维度展开评课交流，在观点碰撞中凝练课堂亮点，明晰提升方向，实现经验共享、协同成长。</w:t>
      </w:r>
    </w:p>
    <w:p w14:paraId="6B5A2E89">
      <w:pPr>
        <w:spacing w:line="276" w:lineRule="auto"/>
        <w:rPr>
          <w:rFonts w:ascii="宋体" w:hAnsi="宋体" w:eastAsia="宋体"/>
          <w:sz w:val="24"/>
        </w:rPr>
      </w:pPr>
      <w:r>
        <w:rPr>
          <w:sz w:val="24"/>
          <w:szCs w:val="32"/>
        </w:rPr>
        <w:drawing>
          <wp:inline distT="0" distB="0" distL="114300" distR="114300">
            <wp:extent cx="5266690" cy="2486660"/>
            <wp:effectExtent l="0" t="0" r="10160" b="8890"/>
            <wp:docPr id="9" name="图片 9" descr="-2035227774336728136.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35227774336728136.suf"/>
                    <pic:cNvPicPr>
                      <a:picLocks noChangeAspect="1"/>
                    </pic:cNvPicPr>
                  </pic:nvPicPr>
                  <pic:blipFill>
                    <a:blip r:embed="rId10"/>
                    <a:stretch>
                      <a:fillRect/>
                    </a:stretch>
                  </pic:blipFill>
                  <pic:spPr>
                    <a:xfrm>
                      <a:off x="0" y="0"/>
                      <a:ext cx="5266690" cy="2486660"/>
                    </a:xfrm>
                    <a:prstGeom prst="rect">
                      <a:avLst/>
                    </a:prstGeom>
                  </pic:spPr>
                </pic:pic>
              </a:graphicData>
            </a:graphic>
          </wp:inline>
        </w:drawing>
      </w:r>
    </w:p>
    <w:p w14:paraId="3F080A57">
      <w:pPr>
        <w:spacing w:line="276" w:lineRule="auto"/>
        <w:rPr>
          <w:rFonts w:ascii="宋体" w:hAnsi="宋体" w:eastAsia="宋体"/>
          <w:sz w:val="24"/>
        </w:rPr>
      </w:pPr>
      <w:r>
        <w:rPr>
          <w:sz w:val="24"/>
          <w:szCs w:val="32"/>
        </w:rPr>
        <w:drawing>
          <wp:inline distT="0" distB="0" distL="114300" distR="114300">
            <wp:extent cx="5266690" cy="2755900"/>
            <wp:effectExtent l="0" t="0" r="10160" b="6350"/>
            <wp:docPr id="10" name="图片 10" descr="-20352277741295192980.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352277741295192980.suf"/>
                    <pic:cNvPicPr>
                      <a:picLocks noChangeAspect="1"/>
                    </pic:cNvPicPr>
                  </pic:nvPicPr>
                  <pic:blipFill>
                    <a:blip r:embed="rId11"/>
                    <a:stretch>
                      <a:fillRect/>
                    </a:stretch>
                  </pic:blipFill>
                  <pic:spPr>
                    <a:xfrm>
                      <a:off x="0" y="0"/>
                      <a:ext cx="5266690" cy="2755900"/>
                    </a:xfrm>
                    <a:prstGeom prst="rect">
                      <a:avLst/>
                    </a:prstGeom>
                  </pic:spPr>
                </pic:pic>
              </a:graphicData>
            </a:graphic>
          </wp:inline>
        </w:drawing>
      </w:r>
    </w:p>
    <w:p w14:paraId="1CA57214">
      <w:pPr>
        <w:spacing w:line="276" w:lineRule="auto"/>
        <w:rPr>
          <w:rFonts w:hint="eastAsia" w:ascii="宋体" w:hAnsi="宋体" w:eastAsia="宋体"/>
          <w:sz w:val="24"/>
        </w:rPr>
      </w:pPr>
      <w:r>
        <w:rPr>
          <w:sz w:val="24"/>
          <w:szCs w:val="32"/>
        </w:rPr>
        <w:drawing>
          <wp:inline distT="0" distB="0" distL="114300" distR="114300">
            <wp:extent cx="5266690" cy="2644775"/>
            <wp:effectExtent l="0" t="0" r="10160" b="3175"/>
            <wp:docPr id="11" name="图片 11" descr="-20352277741316746958.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352277741316746958.suf"/>
                    <pic:cNvPicPr>
                      <a:picLocks noChangeAspect="1"/>
                    </pic:cNvPicPr>
                  </pic:nvPicPr>
                  <pic:blipFill>
                    <a:blip r:embed="rId12"/>
                    <a:stretch>
                      <a:fillRect/>
                    </a:stretch>
                  </pic:blipFill>
                  <pic:spPr>
                    <a:xfrm>
                      <a:off x="0" y="0"/>
                      <a:ext cx="5266690" cy="2644775"/>
                    </a:xfrm>
                    <a:prstGeom prst="rect">
                      <a:avLst/>
                    </a:prstGeom>
                  </pic:spPr>
                </pic:pic>
              </a:graphicData>
            </a:graphic>
          </wp:inline>
        </w:drawing>
      </w:r>
    </w:p>
    <w:p w14:paraId="42A0C351">
      <w:pPr>
        <w:spacing w:line="276" w:lineRule="auto"/>
        <w:ind w:firstLine="480" w:firstLineChars="200"/>
        <w:rPr>
          <w:rFonts w:ascii="宋体" w:hAnsi="宋体" w:eastAsia="宋体"/>
          <w:sz w:val="24"/>
        </w:rPr>
      </w:pPr>
      <w:r>
        <w:rPr>
          <w:rFonts w:hint="eastAsia" w:ascii="宋体" w:hAnsi="宋体" w:eastAsia="宋体"/>
          <w:sz w:val="24"/>
        </w:rPr>
        <w:t>随后，局前街小学新龙湖分校的沈倩老师以《守护奔跑的尊严，构建成长的生态》为题，分享其育人故事与教育情怀；新北区孟河实验小学吕娟老师则以《奋力逐光践初心》为主题，讲述团队共进、专业成长的动人历程。两位老师的讲述生动诠释了新时代教师的使命与担当。</w:t>
      </w:r>
    </w:p>
    <w:p w14:paraId="277FE879">
      <w:pPr>
        <w:spacing w:line="276" w:lineRule="auto"/>
        <w:rPr>
          <w:rFonts w:ascii="宋体" w:hAnsi="宋体" w:eastAsia="宋体"/>
          <w:sz w:val="24"/>
        </w:rPr>
      </w:pPr>
      <w:r>
        <w:rPr>
          <w:rFonts w:hint="eastAsia"/>
          <w:sz w:val="24"/>
          <w:szCs w:val="32"/>
        </w:rPr>
        <w:drawing>
          <wp:inline distT="0" distB="0" distL="114300" distR="114300">
            <wp:extent cx="5274310" cy="3576320"/>
            <wp:effectExtent l="0" t="0" r="2540" b="5080"/>
            <wp:docPr id="3" name="图片 3" descr="IMG2025121014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51210145030"/>
                    <pic:cNvPicPr>
                      <a:picLocks noChangeAspect="1"/>
                    </pic:cNvPicPr>
                  </pic:nvPicPr>
                  <pic:blipFill>
                    <a:blip r:embed="rId13"/>
                    <a:stretch>
                      <a:fillRect/>
                    </a:stretch>
                  </pic:blipFill>
                  <pic:spPr>
                    <a:xfrm>
                      <a:off x="0" y="0"/>
                      <a:ext cx="5274310" cy="3576606"/>
                    </a:xfrm>
                    <a:prstGeom prst="rect">
                      <a:avLst/>
                    </a:prstGeom>
                  </pic:spPr>
                </pic:pic>
              </a:graphicData>
            </a:graphic>
          </wp:inline>
        </w:drawing>
      </w:r>
    </w:p>
    <w:p w14:paraId="7A7EF4CE">
      <w:pPr>
        <w:spacing w:line="276" w:lineRule="auto"/>
        <w:rPr>
          <w:rFonts w:hint="eastAsia" w:ascii="宋体" w:hAnsi="宋体" w:eastAsia="宋体"/>
          <w:sz w:val="24"/>
        </w:rPr>
      </w:pPr>
      <w:r>
        <w:rPr>
          <w:rFonts w:hint="eastAsia"/>
          <w:sz w:val="24"/>
          <w:szCs w:val="32"/>
        </w:rPr>
        <w:drawing>
          <wp:inline distT="0" distB="0" distL="114300" distR="114300">
            <wp:extent cx="5253990" cy="3312160"/>
            <wp:effectExtent l="0" t="0" r="3810" b="2540"/>
            <wp:docPr id="2" name="图片 2" descr="IMG2025121015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251210150421"/>
                    <pic:cNvPicPr>
                      <a:picLocks noChangeAspect="1"/>
                    </pic:cNvPicPr>
                  </pic:nvPicPr>
                  <pic:blipFill>
                    <a:blip r:embed="rId14"/>
                    <a:stretch>
                      <a:fillRect/>
                    </a:stretch>
                  </pic:blipFill>
                  <pic:spPr>
                    <a:xfrm>
                      <a:off x="0" y="0"/>
                      <a:ext cx="5253990" cy="3312160"/>
                    </a:xfrm>
                    <a:prstGeom prst="rect">
                      <a:avLst/>
                    </a:prstGeom>
                  </pic:spPr>
                </pic:pic>
              </a:graphicData>
            </a:graphic>
          </wp:inline>
        </w:drawing>
      </w:r>
    </w:p>
    <w:p w14:paraId="2C71CA4D">
      <w:pPr>
        <w:spacing w:line="276" w:lineRule="auto"/>
        <w:ind w:firstLine="480" w:firstLineChars="200"/>
        <w:rPr>
          <w:rFonts w:hint="eastAsia" w:ascii="宋体" w:hAnsi="宋体" w:eastAsia="宋体"/>
          <w:sz w:val="24"/>
        </w:rPr>
      </w:pPr>
      <w:r>
        <w:rPr>
          <w:rFonts w:hint="eastAsia" w:ascii="宋体" w:hAnsi="宋体" w:eastAsia="宋体"/>
          <w:sz w:val="24"/>
        </w:rPr>
        <w:t>三、专家引领：智启课堂，科技赋能</w:t>
      </w:r>
    </w:p>
    <w:p w14:paraId="2D1166CF">
      <w:pPr>
        <w:spacing w:line="276" w:lineRule="auto"/>
        <w:ind w:firstLine="480" w:firstLineChars="200"/>
        <w:rPr>
          <w:rFonts w:ascii="宋体" w:hAnsi="宋体" w:eastAsia="宋体"/>
          <w:sz w:val="24"/>
        </w:rPr>
      </w:pPr>
      <w:r>
        <w:rPr>
          <w:rFonts w:hint="eastAsia" w:ascii="宋体" w:hAnsi="宋体" w:eastAsia="宋体"/>
          <w:sz w:val="24"/>
        </w:rPr>
        <w:t>特级教师</w:t>
      </w:r>
      <w:r>
        <w:rPr>
          <w:rFonts w:hint="eastAsia" w:ascii="宋体" w:hAnsi="宋体" w:eastAsia="宋体"/>
          <w:sz w:val="24"/>
          <w:lang w:eastAsia="zh-CN"/>
        </w:rPr>
        <w:t>、武进区体育教研员</w:t>
      </w:r>
      <w:r>
        <w:rPr>
          <w:rFonts w:hint="eastAsia" w:ascii="宋体" w:hAnsi="宋体" w:eastAsia="宋体"/>
          <w:sz w:val="24"/>
        </w:rPr>
        <w:t>谭文杰在讲座《智能技术重塑体育教学新生态》中，系统阐释了新课标下“科技+体育”融合教学的价值，介绍了可落地的智能工具与实践案例，启发教师设计兼具趣味与创新的体育课堂。</w:t>
      </w:r>
    </w:p>
    <w:p w14:paraId="4D9F2C3B">
      <w:pPr>
        <w:spacing w:line="276" w:lineRule="auto"/>
        <w:rPr>
          <w:rFonts w:hint="eastAsia" w:ascii="宋体" w:hAnsi="宋体" w:eastAsia="宋体"/>
          <w:sz w:val="24"/>
        </w:rPr>
      </w:pPr>
      <w:r>
        <w:rPr>
          <w:rFonts w:hint="eastAsia"/>
          <w:sz w:val="24"/>
          <w:szCs w:val="32"/>
        </w:rPr>
        <w:drawing>
          <wp:inline distT="0" distB="0" distL="114300" distR="114300">
            <wp:extent cx="5266690" cy="2901950"/>
            <wp:effectExtent l="0" t="0" r="10160" b="12700"/>
            <wp:docPr id="5" name="图片 5" descr="-2035227774-58135077.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35227774-58135077.suf"/>
                    <pic:cNvPicPr>
                      <a:picLocks noChangeAspect="1"/>
                    </pic:cNvPicPr>
                  </pic:nvPicPr>
                  <pic:blipFill>
                    <a:blip r:embed="rId15"/>
                    <a:stretch>
                      <a:fillRect/>
                    </a:stretch>
                  </pic:blipFill>
                  <pic:spPr>
                    <a:xfrm>
                      <a:off x="0" y="0"/>
                      <a:ext cx="5266690" cy="2901950"/>
                    </a:xfrm>
                    <a:prstGeom prst="rect">
                      <a:avLst/>
                    </a:prstGeom>
                  </pic:spPr>
                </pic:pic>
              </a:graphicData>
            </a:graphic>
          </wp:inline>
        </w:drawing>
      </w:r>
    </w:p>
    <w:p w14:paraId="4E9A1223">
      <w:pPr>
        <w:spacing w:line="276" w:lineRule="auto"/>
        <w:ind w:firstLine="480" w:firstLineChars="200"/>
        <w:rPr>
          <w:rFonts w:ascii="宋体" w:hAnsi="宋体" w:eastAsia="宋体"/>
          <w:sz w:val="24"/>
        </w:rPr>
      </w:pPr>
      <w:r>
        <w:rPr>
          <w:rFonts w:hint="eastAsia" w:ascii="宋体" w:hAnsi="宋体" w:eastAsia="宋体"/>
          <w:sz w:val="24"/>
        </w:rPr>
        <w:t>特级教师</w:t>
      </w:r>
      <w:r>
        <w:rPr>
          <w:rFonts w:hint="eastAsia" w:ascii="宋体" w:hAnsi="宋体" w:eastAsia="宋体"/>
          <w:sz w:val="24"/>
          <w:lang w:eastAsia="zh-CN"/>
        </w:rPr>
        <w:t>、孟河实验小学</w:t>
      </w:r>
      <w:r>
        <w:rPr>
          <w:rFonts w:hint="eastAsia" w:ascii="宋体" w:hAnsi="宋体" w:eastAsia="宋体"/>
          <w:sz w:val="24"/>
        </w:rPr>
        <w:t>孙建顺</w:t>
      </w:r>
      <w:r>
        <w:rPr>
          <w:rFonts w:hint="eastAsia" w:ascii="宋体" w:hAnsi="宋体" w:eastAsia="宋体"/>
          <w:sz w:val="24"/>
          <w:lang w:eastAsia="zh-CN"/>
        </w:rPr>
        <w:t>教授</w:t>
      </w:r>
      <w:r>
        <w:rPr>
          <w:rFonts w:hint="eastAsia" w:ascii="宋体" w:hAnsi="宋体" w:eastAsia="宋体"/>
          <w:sz w:val="24"/>
        </w:rPr>
        <w:t>开展题为《智启课堂：科技引领体育变革》的专题讲座。他从新课标下体育课堂的挑战与机遇、科技体育的核心工具与应用场景、实施误区与规避策略三大板块展开，内容充实、阐释生动，为现场教师带来兼具前瞻性与实操性的专业指引。</w:t>
      </w:r>
    </w:p>
    <w:p w14:paraId="0A0AC427">
      <w:pPr>
        <w:spacing w:line="276" w:lineRule="auto"/>
        <w:rPr>
          <w:rFonts w:hint="eastAsia" w:ascii="宋体" w:hAnsi="宋体" w:eastAsia="宋体"/>
          <w:sz w:val="24"/>
        </w:rPr>
      </w:pPr>
      <w:r>
        <w:rPr>
          <w:rFonts w:hint="eastAsia"/>
          <w:sz w:val="24"/>
          <w:szCs w:val="32"/>
        </w:rPr>
        <w:drawing>
          <wp:inline distT="0" distB="0" distL="114300" distR="114300">
            <wp:extent cx="5257800" cy="3310255"/>
            <wp:effectExtent l="0" t="0" r="0" b="4445"/>
            <wp:docPr id="1" name="图片 1" descr="Image_176542844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1765428448432"/>
                    <pic:cNvPicPr>
                      <a:picLocks noChangeAspect="1"/>
                    </pic:cNvPicPr>
                  </pic:nvPicPr>
                  <pic:blipFill>
                    <a:blip r:embed="rId16"/>
                    <a:stretch>
                      <a:fillRect/>
                    </a:stretch>
                  </pic:blipFill>
                  <pic:spPr>
                    <a:xfrm>
                      <a:off x="0" y="0"/>
                      <a:ext cx="5257800" cy="3310255"/>
                    </a:xfrm>
                    <a:prstGeom prst="rect">
                      <a:avLst/>
                    </a:prstGeom>
                  </pic:spPr>
                </pic:pic>
              </a:graphicData>
            </a:graphic>
          </wp:inline>
        </w:drawing>
      </w:r>
    </w:p>
    <w:p w14:paraId="5119A9B0">
      <w:pPr>
        <w:spacing w:line="276" w:lineRule="auto"/>
        <w:ind w:firstLine="480" w:firstLineChars="200"/>
        <w:rPr>
          <w:sz w:val="24"/>
          <w:szCs w:val="32"/>
        </w:rPr>
      </w:pPr>
      <w:r>
        <w:rPr>
          <w:rFonts w:hint="eastAsia" w:ascii="宋体" w:hAnsi="宋体" w:eastAsia="宋体"/>
          <w:sz w:val="24"/>
        </w:rPr>
        <w:t>本次联合教研不仅是体育教学能力的集中展示，更是区域教育资源的有益整合。活动进一步推动了智能技术与体育教学的深度融合，为教师专业成长注入新动力。今后，常州市各小学将持</w:t>
      </w:r>
      <w:bookmarkStart w:id="0" w:name="_GoBack"/>
      <w:bookmarkEnd w:id="0"/>
      <w:r>
        <w:rPr>
          <w:rFonts w:hint="eastAsia" w:ascii="宋体" w:hAnsi="宋体" w:eastAsia="宋体"/>
          <w:sz w:val="24"/>
        </w:rPr>
        <w:t xml:space="preserve">续探索智能教育新模式，以科技之光点亮体育课堂，助力学生身心健康全面发展。               </w:t>
      </w:r>
      <w:r>
        <w:rPr>
          <w:rFonts w:hint="eastAsia"/>
          <w:sz w:val="24"/>
          <w:szCs w:val="32"/>
        </w:rPr>
        <w:t xml:space="preserve"> </w:t>
      </w:r>
    </w:p>
    <w:p w14:paraId="3578E105">
      <w:pPr>
        <w:spacing w:line="276" w:lineRule="auto"/>
        <w:ind w:firstLine="480" w:firstLineChars="200"/>
        <w:rPr>
          <w:sz w:val="24"/>
          <w:szCs w:val="32"/>
        </w:rPr>
      </w:pPr>
      <w:r>
        <w:rPr>
          <w:rFonts w:hint="eastAsia"/>
          <w:sz w:val="24"/>
          <w:szCs w:val="32"/>
        </w:rPr>
        <w:t>（撰稿：李艺倩   摄影：吴志鹏   审核：孙建顺）</w:t>
      </w:r>
    </w:p>
    <w:p w14:paraId="795D5E85">
      <w:pPr>
        <w:ind w:firstLine="420"/>
        <w:rPr>
          <w:sz w:val="24"/>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C6F0A41"/>
    <w:rsid w:val="000A5558"/>
    <w:rsid w:val="00173240"/>
    <w:rsid w:val="001D2197"/>
    <w:rsid w:val="00243626"/>
    <w:rsid w:val="00282A07"/>
    <w:rsid w:val="002C4217"/>
    <w:rsid w:val="00384F6D"/>
    <w:rsid w:val="00393567"/>
    <w:rsid w:val="004A665D"/>
    <w:rsid w:val="004F2A9D"/>
    <w:rsid w:val="006F3C09"/>
    <w:rsid w:val="008304BB"/>
    <w:rsid w:val="00DA6740"/>
    <w:rsid w:val="00EB1C98"/>
    <w:rsid w:val="00EE3E97"/>
    <w:rsid w:val="00F9756D"/>
    <w:rsid w:val="01DF3AA2"/>
    <w:rsid w:val="02803E19"/>
    <w:rsid w:val="03F47EBE"/>
    <w:rsid w:val="0450135D"/>
    <w:rsid w:val="04614FA7"/>
    <w:rsid w:val="04F37E9A"/>
    <w:rsid w:val="05214D4E"/>
    <w:rsid w:val="05E20152"/>
    <w:rsid w:val="06853EFC"/>
    <w:rsid w:val="07537A31"/>
    <w:rsid w:val="07A86DCC"/>
    <w:rsid w:val="08845931"/>
    <w:rsid w:val="0DA02B9B"/>
    <w:rsid w:val="0EBA170C"/>
    <w:rsid w:val="10255CCB"/>
    <w:rsid w:val="102F3B18"/>
    <w:rsid w:val="137C2FBF"/>
    <w:rsid w:val="14AE2A10"/>
    <w:rsid w:val="170D2E4B"/>
    <w:rsid w:val="18331DBE"/>
    <w:rsid w:val="18570113"/>
    <w:rsid w:val="198C23F2"/>
    <w:rsid w:val="1A6C1B74"/>
    <w:rsid w:val="1B422560"/>
    <w:rsid w:val="1D2350D4"/>
    <w:rsid w:val="1D5F6D13"/>
    <w:rsid w:val="212F6DA9"/>
    <w:rsid w:val="22176213"/>
    <w:rsid w:val="228B382F"/>
    <w:rsid w:val="25604097"/>
    <w:rsid w:val="289B3FDA"/>
    <w:rsid w:val="296C06A4"/>
    <w:rsid w:val="303B49CE"/>
    <w:rsid w:val="342205FD"/>
    <w:rsid w:val="358555AA"/>
    <w:rsid w:val="359B3ECF"/>
    <w:rsid w:val="36C406D4"/>
    <w:rsid w:val="37142FFE"/>
    <w:rsid w:val="3A6B0624"/>
    <w:rsid w:val="3AF341C1"/>
    <w:rsid w:val="3B94501B"/>
    <w:rsid w:val="3E471D13"/>
    <w:rsid w:val="3EEF41E1"/>
    <w:rsid w:val="3F3E6832"/>
    <w:rsid w:val="40150C7B"/>
    <w:rsid w:val="40F00597"/>
    <w:rsid w:val="411A10BA"/>
    <w:rsid w:val="41226763"/>
    <w:rsid w:val="417A3567"/>
    <w:rsid w:val="41E93265"/>
    <w:rsid w:val="420B007D"/>
    <w:rsid w:val="43E03903"/>
    <w:rsid w:val="44914F2F"/>
    <w:rsid w:val="45B228E7"/>
    <w:rsid w:val="47D736E6"/>
    <w:rsid w:val="47DD7725"/>
    <w:rsid w:val="48760F26"/>
    <w:rsid w:val="49861009"/>
    <w:rsid w:val="4AAF4D65"/>
    <w:rsid w:val="4C9F32BC"/>
    <w:rsid w:val="4FA31CEB"/>
    <w:rsid w:val="51A66375"/>
    <w:rsid w:val="55FB0AA8"/>
    <w:rsid w:val="571B71E7"/>
    <w:rsid w:val="57AE3D7E"/>
    <w:rsid w:val="590F34F1"/>
    <w:rsid w:val="597E3E4C"/>
    <w:rsid w:val="59927DB9"/>
    <w:rsid w:val="5C6E2CDF"/>
    <w:rsid w:val="5EA21B02"/>
    <w:rsid w:val="5EE04AE3"/>
    <w:rsid w:val="5F444D0A"/>
    <w:rsid w:val="5FD01624"/>
    <w:rsid w:val="600C3C4C"/>
    <w:rsid w:val="60FD097B"/>
    <w:rsid w:val="62957D17"/>
    <w:rsid w:val="65443AEF"/>
    <w:rsid w:val="66197AAA"/>
    <w:rsid w:val="670D3717"/>
    <w:rsid w:val="68322ABD"/>
    <w:rsid w:val="68541B6B"/>
    <w:rsid w:val="689868BC"/>
    <w:rsid w:val="6A0D24DB"/>
    <w:rsid w:val="6A341D77"/>
    <w:rsid w:val="6AB81F88"/>
    <w:rsid w:val="6BD1408D"/>
    <w:rsid w:val="6C6F0A41"/>
    <w:rsid w:val="6DB26E61"/>
    <w:rsid w:val="6F946C69"/>
    <w:rsid w:val="70795D53"/>
    <w:rsid w:val="7326738D"/>
    <w:rsid w:val="73842563"/>
    <w:rsid w:val="73CE173C"/>
    <w:rsid w:val="74AF1469"/>
    <w:rsid w:val="76B42D0F"/>
    <w:rsid w:val="77503D23"/>
    <w:rsid w:val="77670E84"/>
    <w:rsid w:val="789523F6"/>
    <w:rsid w:val="78AB6E0E"/>
    <w:rsid w:val="79E2363B"/>
    <w:rsid w:val="7A242C5C"/>
    <w:rsid w:val="7A3C2CFE"/>
    <w:rsid w:val="7A494E96"/>
    <w:rsid w:val="7ACE56D4"/>
    <w:rsid w:val="7B242C06"/>
    <w:rsid w:val="7C17108F"/>
    <w:rsid w:val="7C3C7C47"/>
    <w:rsid w:val="7C733CDE"/>
    <w:rsid w:val="7DA26058"/>
    <w:rsid w:val="7E952B3D"/>
    <w:rsid w:val="7F411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spacing w:line="240" w:lineRule="auto"/>
      <w:jc w:val="left"/>
    </w:pPr>
    <w:rPr>
      <w:sz w:val="18"/>
      <w:szCs w:val="18"/>
    </w:rPr>
  </w:style>
  <w:style w:type="paragraph" w:styleId="3">
    <w:name w:val="header"/>
    <w:basedOn w:val="1"/>
    <w:link w:val="6"/>
    <w:uiPriority w:val="0"/>
    <w:pPr>
      <w:tabs>
        <w:tab w:val="center" w:pos="4153"/>
        <w:tab w:val="right" w:pos="8306"/>
      </w:tabs>
      <w:snapToGrid w:val="0"/>
      <w:spacing w:line="240" w:lineRule="auto"/>
      <w:jc w:val="center"/>
    </w:pPr>
    <w:rPr>
      <w:sz w:val="18"/>
      <w:szCs w:val="18"/>
    </w:rPr>
  </w:style>
  <w:style w:type="character" w:customStyle="1" w:styleId="6">
    <w:name w:val="页眉 字符"/>
    <w:basedOn w:val="5"/>
    <w:link w:val="3"/>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1331</Words>
  <Characters>1348</Characters>
  <Lines>29</Lines>
  <Paragraphs>11</Paragraphs>
  <TotalTime>2</TotalTime>
  <ScaleCrop>false</ScaleCrop>
  <LinksUpToDate>false</LinksUpToDate>
  <CharactersWithSpaces>1372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2025-12-11T11:10:00Z</dcterms:created>
  <dc:creator>光阴里开出蓝莲衣</dc:creator>
  <cp:lastModifiedBy>ღ蒲公英ღ</cp:lastModifiedBy>
  <dcterms:modified xsi:type="dcterms:W3CDTF">2025-12-11T23:53:35Z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eyJoZGlkIjoiM2E4M2EzMWNmMjBmZDQ3Mzc1MTUwZjY5M2QzYzJhOWMiLCJ1c2VySWQiOiI0MzYzNDkwNzAifQ==</vt:lpwstr>
  </property>
  <property fmtid="{D5CDD505-2E9C-101B-9397-08002B2CF9AE}" pid="4" name="ICV">
    <vt:lpwstr>EBD49ED93F1F45AFB2B6293331750404_12</vt:lpwstr>
  </property>
</Properties>
</file>