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10461C">
      <w:pPr>
        <w:widowControl/>
        <w:shd w:val="clear" w:color="auto" w:fill="FFFFFF"/>
        <w:spacing w:line="540" w:lineRule="exact"/>
        <w:rPr>
          <w:rFonts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附件</w:t>
      </w:r>
      <w:r>
        <w:rPr>
          <w:rFonts w:ascii="黑体" w:hAnsi="黑体" w:eastAsia="黑体" w:cs="宋体"/>
          <w:color w:val="000000"/>
          <w:kern w:val="0"/>
          <w:sz w:val="32"/>
          <w:szCs w:val="32"/>
        </w:rPr>
        <w:t>3</w:t>
      </w: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ab/>
      </w:r>
    </w:p>
    <w:p w14:paraId="61E97E12">
      <w:pPr>
        <w:widowControl/>
        <w:shd w:val="clear" w:color="auto" w:fill="FFFFFF"/>
        <w:spacing w:line="700" w:lineRule="exact"/>
        <w:rPr>
          <w:rFonts w:ascii="方正小标宋简体" w:hAnsi="黑体" w:eastAsia="方正小标宋简体" w:cs="宋体"/>
          <w:color w:val="000000"/>
          <w:kern w:val="0"/>
          <w:sz w:val="44"/>
          <w:szCs w:val="44"/>
        </w:rPr>
      </w:pPr>
      <w:r>
        <w:rPr>
          <w:rFonts w:hint="eastAsia" w:ascii="方正小标宋简体" w:hAnsi="黑体" w:eastAsia="方正小标宋简体" w:cs="宋体"/>
          <w:color w:val="000000"/>
          <w:kern w:val="0"/>
          <w:sz w:val="44"/>
          <w:szCs w:val="44"/>
        </w:rPr>
        <w:t>武进区庙桥小学教师“大家访”活动记录表</w:t>
      </w:r>
    </w:p>
    <w:p w14:paraId="37B6C1D9">
      <w:pPr>
        <w:widowControl/>
        <w:ind w:firstLine="1546" w:firstLineChars="550"/>
        <w:rPr>
          <w:rFonts w:hint="eastAsia" w:ascii="仿宋_GB2312" w:hAnsi="仿宋" w:eastAsia="仿宋_GB2312" w:cs="仿宋"/>
          <w:b/>
          <w:bCs/>
          <w:snapToGrid w:val="0"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_GB2312" w:hAnsi="仿宋" w:eastAsia="仿宋_GB2312" w:cs="仿宋"/>
          <w:b/>
          <w:bCs/>
          <w:snapToGrid w:val="0"/>
          <w:color w:val="000000"/>
          <w:kern w:val="0"/>
          <w:sz w:val="28"/>
          <w:szCs w:val="28"/>
        </w:rPr>
        <w:t>主题：</w:t>
      </w:r>
    </w:p>
    <w:tbl>
      <w:tblPr>
        <w:tblStyle w:val="2"/>
        <w:tblW w:w="9039" w:type="dxa"/>
        <w:jc w:val="center"/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855"/>
        <w:gridCol w:w="1691"/>
        <w:gridCol w:w="241"/>
        <w:gridCol w:w="1099"/>
        <w:gridCol w:w="1241"/>
        <w:gridCol w:w="517"/>
        <w:gridCol w:w="923"/>
        <w:gridCol w:w="1472"/>
      </w:tblGrid>
      <w:tr w14:paraId="72DDFDA2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2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972BD6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16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7CAC70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陈玲</w:t>
            </w:r>
          </w:p>
        </w:tc>
        <w:tc>
          <w:tcPr>
            <w:tcW w:w="13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0E7F4F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班级</w:t>
            </w:r>
          </w:p>
        </w:tc>
        <w:tc>
          <w:tcPr>
            <w:tcW w:w="12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8EAF4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六2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20ED3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20891A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赵晨宇</w:t>
            </w:r>
          </w:p>
        </w:tc>
      </w:tr>
      <w:tr w14:paraId="20FAD89F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1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C3F988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B51848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谢丽君</w:t>
            </w:r>
          </w:p>
        </w:tc>
        <w:tc>
          <w:tcPr>
            <w:tcW w:w="28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2B727C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5DD493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戴博、吴菊</w:t>
            </w:r>
          </w:p>
        </w:tc>
      </w:tr>
      <w:tr w14:paraId="6FF12D61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1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19B21E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508D51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11.20</w:t>
            </w:r>
          </w:p>
        </w:tc>
        <w:tc>
          <w:tcPr>
            <w:tcW w:w="28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051F3D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9FDBF6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面谈</w:t>
            </w:r>
          </w:p>
        </w:tc>
      </w:tr>
      <w:tr w14:paraId="64DF8D31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376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348537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家访起因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45EE0">
            <w:pPr>
              <w:widowControl/>
              <w:autoSpaceDE w:val="0"/>
              <w:autoSpaceDN w:val="0"/>
              <w:snapToGrid w:val="0"/>
              <w:jc w:val="left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孩子整体表现还不错，但是不够自信。学习上基础不太牢，但是思维比较敏捷。</w:t>
            </w:r>
          </w:p>
        </w:tc>
      </w:tr>
      <w:tr w14:paraId="514514E2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693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B4ABB2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4F09D9"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.教师团队首先向家长反馈赵晨宇在校的整体表现，重点肯定其思维敏捷的优点，如课堂上对拓展问题能快速提出思路；2.与家长沟通孩子学习基础薄弱的具体表现，如基础知识点错题较多，同时提及孩子在集体活动中不够自信、很少主动发言的情况；3.倾听家长对孩子在家学习、生活状态的描述，了解到孩子因基础问题在学习中易受挫，进而产生自卑心理；4.与家长共同探讨提升孩子自信、巩固学习基础的方法。</w:t>
            </w:r>
          </w:p>
        </w:tc>
      </w:tr>
      <w:tr w14:paraId="6E7A4090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405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8CA6B2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情况分析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1B4DDF"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.自信心不足：因学习基础不牢固，在学习竞争中处于劣势，长期受挫导致孩子在课堂发言、小组合作中缺乏主动表现的勇气；2.学习基础薄弱：低年级的部分知识点掌握不扎实，影响后续知识的理解与运用，但孩子思维敏捷，具备快速吸收新知识的潜力；3.家校沟通方面：家长对孩子的学习问题有认知，但缺乏系统的辅导方法，未能及时帮孩子建立学习信心。</w:t>
            </w:r>
          </w:p>
        </w:tc>
      </w:tr>
      <w:tr w14:paraId="73E265BD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833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92E4A2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措施与成效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324CF1"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.学校措施：课堂上设计梯度化问题，优先让赵晨宇回答其能力范围内的问题，答对后及时给予表扬，逐步培养自信；利用课后服务时间，为其制定基础知识点巩固计划，由老师负责每日15分钟的针对性辅导；2.家庭措施：家长每日陪同孩子完成15分钟的基础知识点复习，多鼓励少批评，记录孩子的进步点；3.成效：两周后，孩子课堂主动发言次数增加，基础知识点测试正确率提升约20%，面对学习问题时的畏难情绪有所缓解。</w:t>
            </w:r>
          </w:p>
        </w:tc>
      </w:tr>
      <w:tr w14:paraId="1CB814B7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689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E9EEC9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家访反思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981E51"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.对于有潜力但基础薄弱的学生，不能只关注其学习短板，更要挖掘其优势并加以利用，以此为突破口建立学习自信；2.家校合作中，要为家长提供具体、可操作的辅导方法，而非单纯指出问题，才能更好地推动孩子进步；3.后续需持续关注孩子的心理状态，及时调整辅导策略，避免其因反复遇到困难再次丧失信心。</w:t>
            </w:r>
          </w:p>
        </w:tc>
      </w:tr>
      <w:tr w14:paraId="11A56D12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689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0EE6E">
            <w:pPr>
              <w:widowControl/>
              <w:autoSpaceDE w:val="0"/>
              <w:autoSpaceDN w:val="0"/>
              <w:snapToGrid w:val="0"/>
              <w:ind w:firstLine="140" w:firstLineChars="50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活动掠影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BEFAB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3758565" cy="2818765"/>
                  <wp:effectExtent l="0" t="0" r="635" b="635"/>
                  <wp:docPr id="1" name="图片 1" descr="b6d53fadc1516bd6e10309b1d4abc0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6d53fadc1516bd6e10309b1d4abc0f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565" cy="281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1CA7F5">
      <w:pPr>
        <w:widowControl/>
        <w:autoSpaceDE w:val="0"/>
        <w:autoSpaceDN w:val="0"/>
        <w:snapToGrid w:val="0"/>
        <w:jc w:val="center"/>
      </w:pPr>
    </w:p>
    <w:p w14:paraId="7EB2489A">
      <w:pPr>
        <w:widowControl/>
        <w:shd w:val="clear" w:color="auto" w:fill="FFFFFF"/>
        <w:spacing w:line="540" w:lineRule="exact"/>
        <w:rPr>
          <w:rFonts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附件</w:t>
      </w:r>
      <w:r>
        <w:rPr>
          <w:rFonts w:ascii="黑体" w:hAnsi="黑体" w:eastAsia="黑体" w:cs="宋体"/>
          <w:color w:val="000000"/>
          <w:kern w:val="0"/>
          <w:sz w:val="32"/>
          <w:szCs w:val="32"/>
        </w:rPr>
        <w:t>3</w:t>
      </w: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ab/>
      </w:r>
    </w:p>
    <w:p w14:paraId="7049AC7B">
      <w:pPr>
        <w:widowControl/>
        <w:shd w:val="clear" w:color="auto" w:fill="FFFFFF"/>
        <w:spacing w:line="700" w:lineRule="exact"/>
        <w:rPr>
          <w:rFonts w:ascii="方正小标宋简体" w:hAnsi="黑体" w:eastAsia="方正小标宋简体" w:cs="宋体"/>
          <w:color w:val="000000"/>
          <w:kern w:val="0"/>
          <w:sz w:val="44"/>
          <w:szCs w:val="44"/>
        </w:rPr>
      </w:pPr>
      <w:r>
        <w:rPr>
          <w:rFonts w:hint="eastAsia" w:ascii="方正小标宋简体" w:hAnsi="黑体" w:eastAsia="方正小标宋简体" w:cs="宋体"/>
          <w:color w:val="000000"/>
          <w:kern w:val="0"/>
          <w:sz w:val="44"/>
          <w:szCs w:val="44"/>
        </w:rPr>
        <w:t>武进区庙桥小学教师“大家访”活动记录表</w:t>
      </w:r>
    </w:p>
    <w:p w14:paraId="77878DF5">
      <w:pPr>
        <w:widowControl/>
        <w:ind w:firstLine="1546" w:firstLineChars="550"/>
        <w:rPr>
          <w:rFonts w:hint="eastAsia" w:ascii="仿宋_GB2312" w:hAnsi="仿宋" w:eastAsia="仿宋_GB2312" w:cs="仿宋"/>
          <w:b/>
          <w:bCs/>
          <w:snapToGrid w:val="0"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_GB2312" w:hAnsi="仿宋" w:eastAsia="仿宋_GB2312" w:cs="仿宋"/>
          <w:b/>
          <w:bCs/>
          <w:snapToGrid w:val="0"/>
          <w:color w:val="000000"/>
          <w:kern w:val="0"/>
          <w:sz w:val="28"/>
          <w:szCs w:val="28"/>
        </w:rPr>
        <w:t>主题：</w:t>
      </w:r>
    </w:p>
    <w:tbl>
      <w:tblPr>
        <w:tblStyle w:val="2"/>
        <w:tblW w:w="9039" w:type="dxa"/>
        <w:jc w:val="center"/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855"/>
        <w:gridCol w:w="1691"/>
        <w:gridCol w:w="241"/>
        <w:gridCol w:w="1099"/>
        <w:gridCol w:w="1241"/>
        <w:gridCol w:w="517"/>
        <w:gridCol w:w="923"/>
        <w:gridCol w:w="1472"/>
      </w:tblGrid>
      <w:tr w14:paraId="5ABB2361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2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0B0292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16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190A74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陈玲</w:t>
            </w:r>
          </w:p>
        </w:tc>
        <w:tc>
          <w:tcPr>
            <w:tcW w:w="13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4A2F51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班级</w:t>
            </w:r>
          </w:p>
        </w:tc>
        <w:tc>
          <w:tcPr>
            <w:tcW w:w="12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E74A10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六2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DF3A61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922F5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谢宇桐</w:t>
            </w:r>
          </w:p>
        </w:tc>
      </w:tr>
      <w:tr w14:paraId="57349A4F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1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2EDD16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8EE1D5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谢厚勤</w:t>
            </w:r>
          </w:p>
        </w:tc>
        <w:tc>
          <w:tcPr>
            <w:tcW w:w="28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8C873E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BE96B0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戴博、吴菊</w:t>
            </w:r>
          </w:p>
        </w:tc>
      </w:tr>
      <w:tr w14:paraId="62AE22E5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1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F2BB70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25D87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11.21</w:t>
            </w:r>
          </w:p>
        </w:tc>
        <w:tc>
          <w:tcPr>
            <w:tcW w:w="28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A45D3B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D281B5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面谈</w:t>
            </w:r>
          </w:p>
        </w:tc>
      </w:tr>
      <w:tr w14:paraId="1F062E83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376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ECC0A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家访起因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C6633E">
            <w:pPr>
              <w:widowControl/>
              <w:autoSpaceDE w:val="0"/>
              <w:autoSpaceDN w:val="0"/>
              <w:snapToGrid w:val="0"/>
              <w:jc w:val="left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孩子比较调皮，总是贪玩，常常因为贪玩忘记重要的学习任务，还有安全隐患。</w:t>
            </w:r>
          </w:p>
        </w:tc>
      </w:tr>
      <w:tr w14:paraId="4ACAA7C5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693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D099C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466AB"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.教师向家长详细说明谢宇桐在校的表现，包括因贪玩未完成作业、课间追逐打闹引发小磕碰等具体事例；2.了解孩子在家的作息安排，发现其课余时间多沉迷于电子产品和户外疯玩，家长因工作繁忙疏于管教；3.与家长分析孩子贪玩带来的学习和安全问题，强调培养自律性和安全意识的重要性；4.共同制定针对孩子的行为规范和时间管理方案。</w:t>
            </w:r>
          </w:p>
        </w:tc>
      </w:tr>
      <w:tr w14:paraId="70AAE94A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405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9E939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情况分析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1DDE4E"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.行为习惯：孩子自律性较差，缺乏时间规划能力，将玩乐置于学习之前，导致学习任务积压；2.安全意识：课间活动时缺乏危险预判能力，调皮打闹易引发自身或同学的安全事故；3.家庭教育：家长监管缺位，未给孩子树立明确的行为准则，也未培养其合理安排时间的习惯。</w:t>
            </w:r>
          </w:p>
        </w:tc>
      </w:tr>
      <w:tr w14:paraId="65A85C24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833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479E2C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措施与成效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7817BF"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.学校措施：安排谢宇桐担任课间安全监督员，增强其安全责任意识；班主任每日检查其作业完成情况，未完成时及时督促并与家长沟通；2.家庭措施：家长制定家庭作息表，规定每日学习、玩乐和休息时间，减少电子产品使用时长，陪伴孩子进行有益的户外活动；3.成效：一周内，孩子能按时完成大部分作业，课间打闹行为减少，未再出现安全隐患相关情况。</w:t>
            </w:r>
          </w:p>
        </w:tc>
      </w:tr>
      <w:tr w14:paraId="373C702C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689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9C6A69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家访反思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77DE65"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.对于调皮贪玩的学生，单纯的批评教育效果有限，需通过赋予责任、制定规则等方式引导其规范行为；2.家长的陪伴和监管是孩子养成良好习惯的关键，需加强与家长的联动，让家长重视家庭教育的重要性；3.后续可通过班级评比等方式，激励孩子保持良好的行为习惯，形成长效约束。</w:t>
            </w:r>
          </w:p>
        </w:tc>
      </w:tr>
      <w:tr w14:paraId="2A5EF6AE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689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5B9462">
            <w:pPr>
              <w:widowControl/>
              <w:autoSpaceDE w:val="0"/>
              <w:autoSpaceDN w:val="0"/>
              <w:snapToGrid w:val="0"/>
              <w:ind w:firstLine="140" w:firstLineChars="50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活动掠影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4D7AAB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473575" cy="3355340"/>
                  <wp:effectExtent l="0" t="0" r="3175" b="16510"/>
                  <wp:docPr id="3" name="图片 3" descr="36e8bc5d401410b8ebbf356e91453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6e8bc5d401410b8ebbf356e9145312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575" cy="335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485005" cy="3362325"/>
                  <wp:effectExtent l="0" t="0" r="10795" b="3175"/>
                  <wp:docPr id="2" name="图片 2" descr="82175261e034751735f82f1e4576b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2175261e034751735f82f1e4576b58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005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473575" cy="3355340"/>
                  <wp:effectExtent l="0" t="0" r="9525" b="10160"/>
                  <wp:docPr id="4" name="图片 4" descr="75b5553bcc3956856c3c4aa4e8fd1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5b5553bcc3956856c3c4aa4e8fd1e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575" cy="335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5EDFCA">
      <w:pPr>
        <w:spacing w:line="360" w:lineRule="auto"/>
        <w:jc w:val="left"/>
        <w:rPr>
          <w:rFonts w:ascii="黑体" w:hAnsi="黑体" w:eastAsia="黑体" w:cs="宋体"/>
          <w:color w:val="000000"/>
          <w:kern w:val="0"/>
          <w:sz w:val="32"/>
          <w:szCs w:val="32"/>
        </w:rPr>
      </w:pPr>
    </w:p>
    <w:p w14:paraId="3737BB68">
      <w:pPr>
        <w:spacing w:line="360" w:lineRule="auto"/>
        <w:jc w:val="left"/>
        <w:rPr>
          <w:rFonts w:ascii="黑体" w:hAnsi="黑体" w:eastAsia="黑体" w:cs="宋体"/>
          <w:color w:val="000000"/>
          <w:kern w:val="0"/>
          <w:sz w:val="32"/>
          <w:szCs w:val="32"/>
        </w:rPr>
      </w:pPr>
    </w:p>
    <w:p w14:paraId="549DAC49">
      <w:pPr>
        <w:spacing w:line="360" w:lineRule="auto"/>
        <w:jc w:val="left"/>
        <w:rPr>
          <w:rFonts w:ascii="黑体" w:hAnsi="黑体" w:eastAsia="黑体" w:cs="宋体"/>
          <w:color w:val="000000"/>
          <w:kern w:val="0"/>
          <w:sz w:val="32"/>
          <w:szCs w:val="32"/>
        </w:rPr>
      </w:pPr>
    </w:p>
    <w:p w14:paraId="0660B105">
      <w:pPr>
        <w:spacing w:line="360" w:lineRule="auto"/>
        <w:jc w:val="left"/>
        <w:rPr>
          <w:rFonts w:ascii="黑体" w:hAnsi="黑体" w:eastAsia="黑体" w:cs="宋体"/>
          <w:color w:val="000000"/>
          <w:kern w:val="0"/>
          <w:sz w:val="32"/>
          <w:szCs w:val="32"/>
        </w:rPr>
      </w:pPr>
    </w:p>
    <w:p w14:paraId="23686CD7">
      <w:pPr>
        <w:spacing w:line="360" w:lineRule="auto"/>
        <w:jc w:val="left"/>
        <w:rPr>
          <w:rFonts w:ascii="黑体" w:hAnsi="黑体" w:eastAsia="黑体" w:cs="宋体"/>
          <w:color w:val="000000"/>
          <w:kern w:val="0"/>
          <w:sz w:val="32"/>
          <w:szCs w:val="32"/>
        </w:rPr>
      </w:pPr>
    </w:p>
    <w:p w14:paraId="654076A7">
      <w:pPr>
        <w:widowControl/>
        <w:shd w:val="clear" w:color="auto" w:fill="FFFFFF"/>
        <w:spacing w:line="540" w:lineRule="exact"/>
        <w:rPr>
          <w:rFonts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附件</w:t>
      </w:r>
      <w:r>
        <w:rPr>
          <w:rFonts w:ascii="黑体" w:hAnsi="黑体" w:eastAsia="黑体" w:cs="宋体"/>
          <w:color w:val="000000"/>
          <w:kern w:val="0"/>
          <w:sz w:val="32"/>
          <w:szCs w:val="32"/>
        </w:rPr>
        <w:t>3</w:t>
      </w: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ab/>
      </w:r>
    </w:p>
    <w:p w14:paraId="48F21136">
      <w:pPr>
        <w:widowControl/>
        <w:shd w:val="clear" w:color="auto" w:fill="FFFFFF"/>
        <w:spacing w:line="700" w:lineRule="exact"/>
        <w:rPr>
          <w:rFonts w:ascii="方正小标宋简体" w:hAnsi="黑体" w:eastAsia="方正小标宋简体" w:cs="宋体"/>
          <w:color w:val="000000"/>
          <w:kern w:val="0"/>
          <w:sz w:val="44"/>
          <w:szCs w:val="44"/>
        </w:rPr>
      </w:pPr>
      <w:r>
        <w:rPr>
          <w:rFonts w:hint="eastAsia" w:ascii="方正小标宋简体" w:hAnsi="黑体" w:eastAsia="方正小标宋简体" w:cs="宋体"/>
          <w:color w:val="000000"/>
          <w:kern w:val="0"/>
          <w:sz w:val="44"/>
          <w:szCs w:val="44"/>
        </w:rPr>
        <w:t>武进区庙桥小学教师“大家访”活动记录表</w:t>
      </w:r>
    </w:p>
    <w:p w14:paraId="305E56E8">
      <w:pPr>
        <w:widowControl/>
        <w:ind w:firstLine="1546" w:firstLineChars="550"/>
        <w:rPr>
          <w:rFonts w:hint="eastAsia" w:ascii="仿宋_GB2312" w:hAnsi="仿宋" w:eastAsia="仿宋_GB2312" w:cs="仿宋"/>
          <w:b/>
          <w:bCs/>
          <w:snapToGrid w:val="0"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_GB2312" w:hAnsi="仿宋" w:eastAsia="仿宋_GB2312" w:cs="仿宋"/>
          <w:b/>
          <w:bCs/>
          <w:snapToGrid w:val="0"/>
          <w:color w:val="000000"/>
          <w:kern w:val="0"/>
          <w:sz w:val="28"/>
          <w:szCs w:val="28"/>
        </w:rPr>
        <w:t>主题：</w:t>
      </w:r>
    </w:p>
    <w:tbl>
      <w:tblPr>
        <w:tblStyle w:val="2"/>
        <w:tblW w:w="9039" w:type="dxa"/>
        <w:jc w:val="center"/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855"/>
        <w:gridCol w:w="1691"/>
        <w:gridCol w:w="241"/>
        <w:gridCol w:w="1099"/>
        <w:gridCol w:w="1241"/>
        <w:gridCol w:w="517"/>
        <w:gridCol w:w="923"/>
        <w:gridCol w:w="1472"/>
      </w:tblGrid>
      <w:tr w14:paraId="454E9E2C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2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100260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16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5D76E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陈玲</w:t>
            </w:r>
          </w:p>
        </w:tc>
        <w:tc>
          <w:tcPr>
            <w:tcW w:w="13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116A98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班级</w:t>
            </w:r>
          </w:p>
        </w:tc>
        <w:tc>
          <w:tcPr>
            <w:tcW w:w="12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E97771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六2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63902C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87B89D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姜伊涵</w:t>
            </w:r>
          </w:p>
        </w:tc>
      </w:tr>
      <w:tr w14:paraId="4DD7BD24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1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BFABB1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278BE7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白玉兰</w:t>
            </w:r>
          </w:p>
        </w:tc>
        <w:tc>
          <w:tcPr>
            <w:tcW w:w="28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148549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25B634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戴博、吴菊、</w:t>
            </w:r>
          </w:p>
          <w:p w14:paraId="274A2384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潘芝颖</w:t>
            </w:r>
          </w:p>
        </w:tc>
      </w:tr>
      <w:tr w14:paraId="62F8BAE3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1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3C1D36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EE1D8A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11.21</w:t>
            </w:r>
          </w:p>
        </w:tc>
        <w:tc>
          <w:tcPr>
            <w:tcW w:w="28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8F197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949C2A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面谈</w:t>
            </w:r>
          </w:p>
        </w:tc>
      </w:tr>
      <w:tr w14:paraId="7EC4E138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376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C0BE6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家访起因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E82BF9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孩子平时比较踏实，热爱劳动，但是学习上细心不够</w:t>
            </w:r>
          </w:p>
        </w:tc>
      </w:tr>
      <w:tr w14:paraId="6022E8D2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693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594E18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D4E9CD"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.教师团队向家长表扬姜伊涵在校的劳动表现，如主动承担班级卫生任务、帮助同学整理学习用品等；2.与家长沟通孩子学习上粗心的具体问题，如作业中计算题看错数字、应用题漏看条件，考试中因粗心丢失较多分数；3.了解孩子在家写作业的习惯，发现其完成后从不检查，家长也未重视此问题；4.向家长传授培养孩子细心习惯的方法，共同制定训练计划。</w:t>
            </w:r>
          </w:p>
        </w:tc>
      </w:tr>
      <w:tr w14:paraId="33036521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405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593E25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情况分析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DA6F0"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.学习习惯：孩子缺乏作业检查意识和方法，对细节的关注度不足，导致学习中频繁出现粗心错误；2.优点挖掘：孩子踏实、热爱劳动的品质说明其具备认真做事的潜力，可将此品质迁移到学习中；3.家校配合：家长对孩子的粗心问题重视不足，未及时进行针对性的习惯培养。</w:t>
            </w:r>
          </w:p>
        </w:tc>
      </w:tr>
      <w:tr w14:paraId="0BA93114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833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88F055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措施与成效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5BD828"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.学校措施：课堂上设置“细心小标兵”评比，鼓励姜伊涵关注学习细节；潘芝颖老师利用劳动课的契机，引导孩子将劳动中认真细致的态度运用到学习中；2.家庭措施：家长监督孩子完成作业后进行自查，针对粗心错误建立错题本，每日记录并分析原因；3.成效：三周后，孩子作业中的粗心错题减少约30%，考试失分情况有所改善，逐渐养成完成作业后检查的习惯。</w:t>
            </w:r>
          </w:p>
        </w:tc>
      </w:tr>
      <w:tr w14:paraId="574958E8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689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C4B3F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家访反思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1DBD63"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.每个学生都有自身的优点，教学中应善于将学生的优势品质迁移到不足的方面，实现以长补短；2.学习习惯的培养需要家校长期配合，要持续向家长传递科学的教育方法，帮助孩子逐步改正问题；3.对于性格踏实的学生，耐心引</w:t>
            </w:r>
            <w:bookmarkStart w:id="0" w:name="_GoBack"/>
            <w:bookmarkEnd w:id="0"/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导和正向激励比批评更能有效改善其学习问题。</w:t>
            </w:r>
          </w:p>
        </w:tc>
      </w:tr>
      <w:tr w14:paraId="73CAC303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689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7B469A">
            <w:pPr>
              <w:widowControl/>
              <w:autoSpaceDE w:val="0"/>
              <w:autoSpaceDN w:val="0"/>
              <w:snapToGrid w:val="0"/>
              <w:ind w:firstLine="140" w:firstLineChars="50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活动掠影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3FC45B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470400" cy="3352800"/>
                  <wp:effectExtent l="0" t="0" r="0" b="0"/>
                  <wp:docPr id="5" name="图片 5" descr="4de9997c44477f32ad774da5fcb190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de9997c44477f32ad774da5fcb190a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00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485005" cy="3362325"/>
                  <wp:effectExtent l="0" t="0" r="10795" b="3175"/>
                  <wp:docPr id="6" name="图片 6" descr="6860720b0935a5bed3da943a57dfbb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860720b0935a5bed3da943a57dfbb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005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A26AF4">
      <w:pPr>
        <w:spacing w:line="360" w:lineRule="auto"/>
        <w:jc w:val="left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</w:p>
    <w:p w14:paraId="37D61E5C">
      <w:pPr>
        <w:widowControl/>
        <w:shd w:val="clear" w:color="auto" w:fill="FFFFFF"/>
        <w:spacing w:line="540" w:lineRule="exact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</w:p>
    <w:p w14:paraId="5053C773">
      <w:pPr>
        <w:widowControl/>
        <w:shd w:val="clear" w:color="auto" w:fill="FFFFFF"/>
        <w:spacing w:line="540" w:lineRule="exact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</w:p>
    <w:p w14:paraId="6DF28320">
      <w:pPr>
        <w:widowControl/>
        <w:shd w:val="clear" w:color="auto" w:fill="FFFFFF"/>
        <w:spacing w:line="540" w:lineRule="exact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</w:p>
    <w:p w14:paraId="53F22598">
      <w:pPr>
        <w:widowControl/>
        <w:shd w:val="clear" w:color="auto" w:fill="FFFFFF"/>
        <w:spacing w:line="540" w:lineRule="exact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</w:p>
    <w:p w14:paraId="439A47D0">
      <w:pPr>
        <w:widowControl/>
        <w:shd w:val="clear" w:color="auto" w:fill="FFFFFF"/>
        <w:spacing w:line="540" w:lineRule="exact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</w:p>
    <w:p w14:paraId="4EEF8E2A">
      <w:pPr>
        <w:widowControl/>
        <w:shd w:val="clear" w:color="auto" w:fill="FFFFFF"/>
        <w:spacing w:line="540" w:lineRule="exact"/>
        <w:rPr>
          <w:rFonts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附件</w:t>
      </w:r>
      <w:r>
        <w:rPr>
          <w:rFonts w:ascii="黑体" w:hAnsi="黑体" w:eastAsia="黑体" w:cs="宋体"/>
          <w:color w:val="000000"/>
          <w:kern w:val="0"/>
          <w:sz w:val="32"/>
          <w:szCs w:val="32"/>
        </w:rPr>
        <w:t>3</w:t>
      </w: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ab/>
      </w:r>
    </w:p>
    <w:p w14:paraId="1D84D486">
      <w:pPr>
        <w:widowControl/>
        <w:shd w:val="clear" w:color="auto" w:fill="FFFFFF"/>
        <w:spacing w:line="700" w:lineRule="exact"/>
        <w:rPr>
          <w:rFonts w:ascii="方正小标宋简体" w:hAnsi="黑体" w:eastAsia="方正小标宋简体" w:cs="宋体"/>
          <w:color w:val="000000"/>
          <w:kern w:val="0"/>
          <w:sz w:val="44"/>
          <w:szCs w:val="44"/>
        </w:rPr>
      </w:pPr>
      <w:r>
        <w:rPr>
          <w:rFonts w:hint="eastAsia" w:ascii="方正小标宋简体" w:hAnsi="黑体" w:eastAsia="方正小标宋简体" w:cs="宋体"/>
          <w:color w:val="000000"/>
          <w:kern w:val="0"/>
          <w:sz w:val="44"/>
          <w:szCs w:val="44"/>
        </w:rPr>
        <w:t>武进区庙桥小学教师“大家访”活动记录表</w:t>
      </w:r>
    </w:p>
    <w:p w14:paraId="056963D1">
      <w:pPr>
        <w:widowControl/>
        <w:ind w:firstLine="1546" w:firstLineChars="550"/>
        <w:rPr>
          <w:rFonts w:hint="eastAsia" w:ascii="仿宋_GB2312" w:hAnsi="仿宋" w:eastAsia="仿宋_GB2312" w:cs="仿宋"/>
          <w:b/>
          <w:bCs/>
          <w:snapToGrid w:val="0"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_GB2312" w:hAnsi="仿宋" w:eastAsia="仿宋_GB2312" w:cs="仿宋"/>
          <w:b/>
          <w:bCs/>
          <w:snapToGrid w:val="0"/>
          <w:color w:val="000000"/>
          <w:kern w:val="0"/>
          <w:sz w:val="28"/>
          <w:szCs w:val="28"/>
        </w:rPr>
        <w:t>主题：</w:t>
      </w:r>
    </w:p>
    <w:tbl>
      <w:tblPr>
        <w:tblStyle w:val="2"/>
        <w:tblW w:w="9039" w:type="dxa"/>
        <w:jc w:val="center"/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855"/>
        <w:gridCol w:w="1691"/>
        <w:gridCol w:w="241"/>
        <w:gridCol w:w="1099"/>
        <w:gridCol w:w="1241"/>
        <w:gridCol w:w="517"/>
        <w:gridCol w:w="923"/>
        <w:gridCol w:w="1472"/>
      </w:tblGrid>
      <w:tr w14:paraId="4CD0788B">
        <w:trPr>
          <w:trHeight w:val="512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DC740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16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3D92FA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陈玲</w:t>
            </w:r>
          </w:p>
        </w:tc>
        <w:tc>
          <w:tcPr>
            <w:tcW w:w="13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3F4E1E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班级</w:t>
            </w:r>
          </w:p>
        </w:tc>
        <w:tc>
          <w:tcPr>
            <w:tcW w:w="12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62C764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六2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476B4C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5A2B0A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丁宇泽</w:t>
            </w:r>
          </w:p>
        </w:tc>
      </w:tr>
      <w:tr w14:paraId="15931DB2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1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BBBE81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327EF6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江文凤</w:t>
            </w:r>
          </w:p>
        </w:tc>
        <w:tc>
          <w:tcPr>
            <w:tcW w:w="28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56D1F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BE01A9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戴博</w:t>
            </w:r>
          </w:p>
        </w:tc>
      </w:tr>
      <w:tr w14:paraId="733BA481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1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0F0225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96F963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11.24</w:t>
            </w:r>
          </w:p>
        </w:tc>
        <w:tc>
          <w:tcPr>
            <w:tcW w:w="28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AE2DEC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BED3DB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面谈</w:t>
            </w:r>
          </w:p>
        </w:tc>
      </w:tr>
      <w:tr w14:paraId="511ED871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376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FA3207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家访起因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068EAE">
            <w:pPr>
              <w:widowControl/>
              <w:autoSpaceDE w:val="0"/>
              <w:autoSpaceDN w:val="0"/>
              <w:snapToGrid w:val="0"/>
              <w:jc w:val="left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孩子非常调皮，常常会有同学矛盾，安全隐患，学习上比较吃力，理解能力较弱</w:t>
            </w:r>
          </w:p>
        </w:tc>
      </w:tr>
      <w:tr w14:paraId="39D4980E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693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0029E3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EF3B8E"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.教师向家长详细反馈丁宇泽在校的情况，包括与同学因小事发生冲突、课间攀爬护栏等安全行为，以及数学、语文等学科学习中理解知识点缓慢的问题；2.与家长深入交流孩子的成长环境和在家表现，了解到孩子注意力不集中，家长尝试过辅导但因孩子不配合而放弃；3.分析孩子行为和学习问题的根源，与家长共同探讨个性化的教育和辅导方案；4.向家长介绍学校的帮扶计划，争取家长的配合。</w:t>
            </w:r>
          </w:p>
        </w:tc>
      </w:tr>
      <w:tr w14:paraId="0F6EB7D1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405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F00DCD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情况分析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04BABD"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.行为方面：孩子自控能力差，社交技巧不足，处理同学矛盾的方式简单粗暴，安全意识淡薄，易引发意外；2.学习方面：学习基础薄弱，知识衔接存在断层，导致理解能力跟不上教学进度，进而产生厌学情绪；3.家庭教育：家长缺乏有效的教育方法，面对孩子的问题易急躁，未能建立良好的亲子沟通和辅导模式。</w:t>
            </w:r>
          </w:p>
        </w:tc>
      </w:tr>
      <w:tr w14:paraId="0DB742E7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833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195872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措施与成效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32A27D"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.学校措施：陈玲老师利用课后时间为丁宇泽进行一对一的学习基础辅导，从简单知识点开始逐步巩固；开展班级社交礼仪主题班会，引导丁宇泽学习与同学友好相处的方法，安排友善的同学与其结对互助；对其进行专项安全知识教育，监督其课间行为；2.家庭措施：家长学习亲子沟通技巧，减少对孩子的指责，每日陪伴孩子进行20分钟的专注力训练和简单学习任务；3.成效：一个月内，孩子与同学的矛盾次数减少，未再出现安全违规行为，学习上能理解基础知识点，完成简单作业。</w:t>
            </w:r>
          </w:p>
        </w:tc>
      </w:tr>
      <w:tr w14:paraId="5DC38C9E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689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24C5BD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家访反思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9E6FD0"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.对于行为和学习双重困难的学生，需要制定个性化的教育方案，循序渐进地改善问题，不可急于求成；2.家校之间要建立良好的沟通机制，及时反馈孩子的表现，共同调整教育策略；3.要给予这类学生更多的耐心和关爱，发现其点滴进步并及时鼓励，帮助其建立学习和生活的信心。</w:t>
            </w:r>
          </w:p>
        </w:tc>
      </w:tr>
      <w:tr w14:paraId="40860FE6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689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FBE2C">
            <w:pPr>
              <w:widowControl/>
              <w:autoSpaceDE w:val="0"/>
              <w:autoSpaceDN w:val="0"/>
              <w:snapToGrid w:val="0"/>
              <w:ind w:firstLine="140" w:firstLineChars="50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活动掠影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CA2C37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473575" cy="3355340"/>
                  <wp:effectExtent l="0" t="0" r="9525" b="10160"/>
                  <wp:docPr id="7" name="图片 7" descr="cd0f7e26c85400ab24b6205a608b9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d0f7e26c85400ab24b6205a608b937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575" cy="335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558A48">
      <w:pPr>
        <w:spacing w:line="360" w:lineRule="auto"/>
        <w:jc w:val="left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</w:p>
    <w:p w14:paraId="7E23DFE4">
      <w:pPr>
        <w:spacing w:line="360" w:lineRule="auto"/>
        <w:jc w:val="left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</w:p>
    <w:p w14:paraId="6152D2C7">
      <w:pPr>
        <w:spacing w:line="360" w:lineRule="auto"/>
        <w:jc w:val="left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</w:p>
    <w:p w14:paraId="62BE0DF4">
      <w:pPr>
        <w:spacing w:line="360" w:lineRule="auto"/>
        <w:jc w:val="left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</w:p>
    <w:p w14:paraId="6C90BCB6">
      <w:pPr>
        <w:spacing w:line="360" w:lineRule="auto"/>
        <w:jc w:val="left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</w:p>
    <w:p w14:paraId="357C37AE">
      <w:pPr>
        <w:spacing w:line="360" w:lineRule="auto"/>
        <w:jc w:val="left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</w:p>
    <w:p w14:paraId="5B1D255A">
      <w:pPr>
        <w:spacing w:line="360" w:lineRule="auto"/>
        <w:jc w:val="left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</w:p>
    <w:p w14:paraId="487A198E">
      <w:pPr>
        <w:spacing w:line="360" w:lineRule="auto"/>
        <w:jc w:val="left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</w:p>
    <w:p w14:paraId="45AB7097">
      <w:pPr>
        <w:spacing w:line="360" w:lineRule="auto"/>
        <w:jc w:val="left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</w:p>
    <w:p w14:paraId="4583C9D0">
      <w:pPr>
        <w:spacing w:line="360" w:lineRule="auto"/>
        <w:jc w:val="left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</w:p>
    <w:p w14:paraId="486049EF">
      <w:pPr>
        <w:spacing w:line="360" w:lineRule="auto"/>
        <w:jc w:val="left"/>
        <w:rPr>
          <w:rFonts w:hint="eastAsia" w:ascii="黑体" w:hAnsi="黑体" w:eastAsia="黑体" w:cs="宋体"/>
          <w:color w:val="000000"/>
          <w:kern w:val="0"/>
          <w:sz w:val="32"/>
          <w:szCs w:val="32"/>
        </w:rPr>
      </w:pPr>
    </w:p>
    <w:p w14:paraId="5FFD97F4">
      <w:pPr>
        <w:widowControl/>
        <w:shd w:val="clear" w:color="auto" w:fill="FFFFFF"/>
        <w:spacing w:line="540" w:lineRule="exact"/>
        <w:rPr>
          <w:rFonts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附件</w:t>
      </w:r>
      <w:r>
        <w:rPr>
          <w:rFonts w:ascii="黑体" w:hAnsi="黑体" w:eastAsia="黑体" w:cs="宋体"/>
          <w:color w:val="000000"/>
          <w:kern w:val="0"/>
          <w:sz w:val="32"/>
          <w:szCs w:val="32"/>
        </w:rPr>
        <w:t>3</w:t>
      </w: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ab/>
      </w:r>
    </w:p>
    <w:p w14:paraId="11C21B1C">
      <w:pPr>
        <w:widowControl/>
        <w:shd w:val="clear" w:color="auto" w:fill="FFFFFF"/>
        <w:spacing w:line="700" w:lineRule="exact"/>
        <w:rPr>
          <w:rFonts w:ascii="方正小标宋简体" w:hAnsi="黑体" w:eastAsia="方正小标宋简体" w:cs="宋体"/>
          <w:color w:val="000000"/>
          <w:kern w:val="0"/>
          <w:sz w:val="44"/>
          <w:szCs w:val="44"/>
        </w:rPr>
      </w:pPr>
      <w:r>
        <w:rPr>
          <w:rFonts w:hint="eastAsia" w:ascii="方正小标宋简体" w:hAnsi="黑体" w:eastAsia="方正小标宋简体" w:cs="宋体"/>
          <w:color w:val="000000"/>
          <w:kern w:val="0"/>
          <w:sz w:val="44"/>
          <w:szCs w:val="44"/>
        </w:rPr>
        <w:t>武进区庙桥小学教师“大家访”活动记录表</w:t>
      </w:r>
    </w:p>
    <w:p w14:paraId="15459DB1">
      <w:pPr>
        <w:widowControl/>
        <w:ind w:firstLine="1546" w:firstLineChars="550"/>
        <w:rPr>
          <w:rFonts w:hint="eastAsia" w:ascii="仿宋_GB2312" w:hAnsi="仿宋" w:eastAsia="仿宋_GB2312" w:cs="仿宋"/>
          <w:b/>
          <w:bCs/>
          <w:snapToGrid w:val="0"/>
          <w:color w:val="000000"/>
          <w:kern w:val="0"/>
          <w:sz w:val="28"/>
          <w:szCs w:val="28"/>
          <w:lang w:eastAsia="zh-CN"/>
        </w:rPr>
      </w:pPr>
      <w:r>
        <w:rPr>
          <w:rFonts w:hint="eastAsia" w:ascii="仿宋_GB2312" w:hAnsi="仿宋" w:eastAsia="仿宋_GB2312" w:cs="仿宋"/>
          <w:b/>
          <w:bCs/>
          <w:snapToGrid w:val="0"/>
          <w:color w:val="000000"/>
          <w:kern w:val="0"/>
          <w:sz w:val="28"/>
          <w:szCs w:val="28"/>
        </w:rPr>
        <w:t>主题：</w:t>
      </w:r>
    </w:p>
    <w:tbl>
      <w:tblPr>
        <w:tblStyle w:val="2"/>
        <w:tblW w:w="9039" w:type="dxa"/>
        <w:jc w:val="center"/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855"/>
        <w:gridCol w:w="1691"/>
        <w:gridCol w:w="241"/>
        <w:gridCol w:w="1099"/>
        <w:gridCol w:w="1241"/>
        <w:gridCol w:w="517"/>
        <w:gridCol w:w="923"/>
        <w:gridCol w:w="1472"/>
      </w:tblGrid>
      <w:tr w14:paraId="518B70E3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2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3B1337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16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531023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陈玲</w:t>
            </w:r>
          </w:p>
        </w:tc>
        <w:tc>
          <w:tcPr>
            <w:tcW w:w="13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6D20FF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班级</w:t>
            </w:r>
          </w:p>
        </w:tc>
        <w:tc>
          <w:tcPr>
            <w:tcW w:w="124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34FC6E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六2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E09A69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3CF0F3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贾雯博</w:t>
            </w:r>
          </w:p>
        </w:tc>
      </w:tr>
      <w:tr w14:paraId="71FE7364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1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BB1C4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AAA19A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赵丽萍</w:t>
            </w:r>
          </w:p>
        </w:tc>
        <w:tc>
          <w:tcPr>
            <w:tcW w:w="28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176FD6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9EF482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戴博</w:t>
            </w:r>
          </w:p>
        </w:tc>
      </w:tr>
      <w:tr w14:paraId="16202AEA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11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D43A0B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FFE6E3">
            <w:pPr>
              <w:widowControl/>
              <w:autoSpaceDE w:val="0"/>
              <w:autoSpaceDN w:val="0"/>
              <w:snapToGrid w:val="0"/>
              <w:jc w:val="center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  <w:t>11.24</w:t>
            </w:r>
          </w:p>
        </w:tc>
        <w:tc>
          <w:tcPr>
            <w:tcW w:w="285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ADC1CC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1CB724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面谈</w:t>
            </w:r>
          </w:p>
        </w:tc>
      </w:tr>
      <w:tr w14:paraId="4B2576AB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59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433A9B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家访起因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A480D9">
            <w:pPr>
              <w:widowControl/>
              <w:autoSpaceDE w:val="0"/>
              <w:autoSpaceDN w:val="0"/>
              <w:snapToGrid w:val="0"/>
              <w:jc w:val="left"/>
              <w:rPr>
                <w:rFonts w:hint="default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孩子热爱劳动，也比较老实，但是学习上比较懒惰，不爱思考。</w:t>
            </w:r>
          </w:p>
        </w:tc>
      </w:tr>
      <w:tr w14:paraId="60B14546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693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F8309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206A3B"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.教师首先肯定贾雯博在校热爱劳动、遵守纪律的优点，如主动承担班级卫生区清扫、从不违反校规等；2.向家长反映孩子学习上的问题，如作业拖延、遇到难题直接放弃，不愿主动思考，依赖老师和家长讲解；3.倾听家长的反馈，了解到孩子在家写作业时经常边做边玩，家长为了节省时间常直接告知答案；4.与家长探讨如何激发孩子的学习主动性，培养独立思考的习惯。</w:t>
            </w:r>
          </w:p>
        </w:tc>
      </w:tr>
      <w:tr w14:paraId="45AA1E3E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405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5B2341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情况分析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CDAC83"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.学习态度：孩子学习主动性差，存在畏难情绪，缺乏独立思考的意识和能力，导致学习效率低下；2.家庭教育：家长过度包办孩子的学习问题，剥夺了孩子独立思考的机会，加剧了其学习懒惰的问题；3.自身特质：孩子性格老实、热爱劳动，说明其具备坚持和踏实的品质，可借助此特质引导其对待学习。</w:t>
            </w:r>
          </w:p>
        </w:tc>
      </w:tr>
      <w:tr w14:paraId="4C70A351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833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6F5358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措施与成效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1DCC4E"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.学校措施：为贾雯博布置分层作业，降低难题难度，逐步培养其独立解题的信心；课堂上设计开放性问题，鼓励其大胆表达想法，对主动思考的行为给予表扬；2.家庭措施：家长改变教育方式，遇到孩子提问时先引导其自主思考，而非直接告知答案，规定写作业的时间和纪律，减少外界干扰；3.成效：三周后，孩子作业拖延情况改善，能主动尝试思考简单的难题，作业完成质量有所提升。</w:t>
            </w:r>
          </w:p>
        </w:tc>
      </w:tr>
      <w:tr w14:paraId="42793A64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689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8180AF">
            <w:pPr>
              <w:widowControl/>
              <w:autoSpaceDE w:val="0"/>
              <w:autoSpaceDN w:val="0"/>
              <w:snapToGrid w:val="0"/>
              <w:jc w:val="center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家访反思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597CF2">
            <w:pPr>
              <w:widowControl/>
              <w:autoSpaceDE w:val="0"/>
              <w:autoSpaceDN w:val="0"/>
              <w:snapToGrid w:val="0"/>
              <w:jc w:val="left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val="en-US" w:eastAsia="zh-CN"/>
              </w:rPr>
              <w:t>1.家长的教育方式对孩子的学习习惯影响深远，要引导家长转变观念，给予孩子独立思考和尝试的空间；2.对于学习懒惰的学生，要通过降低学习难度、正向激励等方式，逐步激发其学习兴趣和主动性；3.要充分利用学生的优点，将其优秀的品质迁移到学习中，帮助学生建立正确的学习态度。</w:t>
            </w:r>
          </w:p>
        </w:tc>
      </w:tr>
      <w:tr w14:paraId="7DF4AFF4"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1689" w:hRule="atLeast"/>
          <w:jc w:val="center"/>
        </w:trPr>
        <w:tc>
          <w:tcPr>
            <w:tcW w:w="1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763A83">
            <w:pPr>
              <w:widowControl/>
              <w:autoSpaceDE w:val="0"/>
              <w:autoSpaceDN w:val="0"/>
              <w:snapToGrid w:val="0"/>
              <w:ind w:firstLine="140" w:firstLineChars="50"/>
              <w:rPr>
                <w:rFonts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</w:rPr>
              <w:t>活动掠影</w:t>
            </w:r>
          </w:p>
        </w:tc>
        <w:tc>
          <w:tcPr>
            <w:tcW w:w="7184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C094F2">
            <w:pPr>
              <w:widowControl/>
              <w:autoSpaceDE w:val="0"/>
              <w:autoSpaceDN w:val="0"/>
              <w:snapToGrid w:val="0"/>
              <w:jc w:val="center"/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" w:eastAsia="仿宋_GB2312" w:cs="仿宋"/>
                <w:snapToGrid w:val="0"/>
                <w:color w:val="000000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486910" cy="3364865"/>
                  <wp:effectExtent l="0" t="0" r="8890" b="6985"/>
                  <wp:docPr id="10" name="图片 10" descr="b9625326a5c09586203c4b3e7c24fa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9625326a5c09586203c4b3e7c24fa7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910" cy="336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1F7A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6239BBD-C54D-40A7-910E-563583AAB6C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DD2284B2-753C-441F-9E71-65C4A9672368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7A60F446-7E94-439B-9AD2-A263CC74ADC2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4" w:fontKey="{C96BF10D-33D0-47B3-B56E-5BDEBD28B02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BB2E8CC1-9052-425D-ADD4-A59D73986F04}"/>
  </w:font>
  <w:font w:name="WPSEMBED1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1A37B0"/>
    <w:rsid w:val="1AA44EB0"/>
    <w:rsid w:val="2DDE1E4E"/>
    <w:rsid w:val="4111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3681</Words>
  <Characters>3773</Characters>
  <Lines>0</Lines>
  <Paragraphs>0</Paragraphs>
  <TotalTime>11</TotalTime>
  <ScaleCrop>false</ScaleCrop>
  <LinksUpToDate>false</LinksUpToDate>
  <CharactersWithSpaces>3778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2025-11-25T07:50:00Z</dcterms:created>
  <dc:creator>hp</dc:creator>
  <cp:lastModifiedBy>cherish</cp:lastModifiedBy>
  <dcterms:modified xsi:type="dcterms:W3CDTF">2025-12-12T03:02:23Z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eyJoZGlkIjoiZTFmYWY4MGI5ODQ3NGNiMWY5MWRiZGU0Yjk3YjQ0YmUiLCJ1c2VySWQiOiI0MzI1ODQ4MTIifQ==</vt:lpwstr>
  </property>
  <property fmtid="{D5CDD505-2E9C-101B-9397-08002B2CF9AE}" pid="4" name="ICV">
    <vt:lpwstr>C3CAA7D8734546598FCBCE0D0626A62C_13</vt:lpwstr>
  </property>
</Properties>
</file>