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717B3E">
      <w:pPr>
        <w:jc w:val="both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附件4</w:t>
      </w:r>
    </w:p>
    <w:p w14:paraId="0D0662EA">
      <w:pPr>
        <w:jc w:val="center"/>
        <w:rPr>
          <w:rFonts w:hint="eastAsia" w:ascii="宋体" w:hAnsi="宋体" w:eastAsia="宋体"/>
          <w:b/>
          <w:bCs/>
          <w:sz w:val="48"/>
          <w:szCs w:val="48"/>
        </w:rPr>
      </w:pPr>
    </w:p>
    <w:p w14:paraId="4B288652">
      <w:pPr>
        <w:jc w:val="center"/>
        <w:rPr>
          <w:rFonts w:hint="eastAsia" w:ascii="宋体" w:hAnsi="宋体" w:eastAsia="宋体"/>
          <w:b/>
          <w:bCs/>
          <w:sz w:val="48"/>
          <w:szCs w:val="48"/>
        </w:rPr>
      </w:pPr>
    </w:p>
    <w:p w14:paraId="2E377EE1">
      <w:pPr>
        <w:jc w:val="center"/>
        <w:rPr>
          <w:rFonts w:hint="eastAsia" w:ascii="宋体" w:hAnsi="宋体" w:eastAsia="宋体"/>
          <w:b/>
          <w:bCs/>
          <w:sz w:val="48"/>
          <w:szCs w:val="48"/>
        </w:rPr>
      </w:pPr>
      <w:bookmarkStart w:id="14" w:name="_GoBack"/>
      <w:bookmarkEnd w:id="14"/>
    </w:p>
    <w:p w14:paraId="06AA09B7">
      <w:pPr>
        <w:jc w:val="center"/>
        <w:rPr>
          <w:rFonts w:hint="eastAsia" w:ascii="宋体" w:hAnsi="宋体" w:eastAsia="宋体"/>
          <w:b/>
          <w:bCs/>
          <w:sz w:val="48"/>
          <w:szCs w:val="48"/>
        </w:rPr>
      </w:pPr>
    </w:p>
    <w:p w14:paraId="1D13EFDC">
      <w:pPr>
        <w:jc w:val="center"/>
        <w:outlineLvl w:val="9"/>
        <w:rPr>
          <w:rFonts w:hint="eastAsia" w:ascii="方正小标宋简体" w:hAnsi="方正小标宋简体" w:eastAsia="方正小标宋简体" w:cs="方正小标宋简体"/>
          <w:sz w:val="36"/>
          <w:szCs w:val="36"/>
        </w:rPr>
      </w:pPr>
      <w:bookmarkStart w:id="0" w:name="_Toc15253"/>
      <w:r>
        <w:rPr>
          <w:rFonts w:hint="eastAsia" w:ascii="方正小标宋简体" w:hAnsi="方正小标宋简体" w:eastAsia="方正小标宋简体" w:cs="方正小标宋简体"/>
          <w:b/>
          <w:bCs/>
          <w:sz w:val="48"/>
          <w:szCs w:val="48"/>
        </w:rPr>
        <w:t>江苏省中小学教育装备管理与使用学习平台</w:t>
      </w:r>
      <w:bookmarkEnd w:id="0"/>
    </w:p>
    <w:p w14:paraId="20E57A5B">
      <w:pPr>
        <w:jc w:val="center"/>
        <w:rPr>
          <w:rFonts w:hint="eastAsia" w:ascii="宋体" w:hAnsi="宋体" w:eastAsia="宋体" w:cs="Times New Roman"/>
          <w:szCs w:val="21"/>
        </w:rPr>
      </w:pPr>
    </w:p>
    <w:p w14:paraId="1E93A7B6">
      <w:pPr>
        <w:jc w:val="center"/>
        <w:rPr>
          <w:rFonts w:hint="eastAsia" w:ascii="宋体" w:hAnsi="宋体" w:eastAsia="宋体" w:cs="Times New Roman"/>
          <w:szCs w:val="21"/>
        </w:rPr>
      </w:pPr>
    </w:p>
    <w:p w14:paraId="2195C2DE">
      <w:pPr>
        <w:jc w:val="center"/>
        <w:rPr>
          <w:rFonts w:hint="eastAsia" w:ascii="宋体" w:hAnsi="宋体" w:eastAsia="宋体" w:cs="Times New Roman"/>
          <w:szCs w:val="21"/>
        </w:rPr>
      </w:pPr>
    </w:p>
    <w:p w14:paraId="096178A6">
      <w:pPr>
        <w:jc w:val="center"/>
        <w:rPr>
          <w:rFonts w:hint="eastAsia" w:ascii="宋体" w:hAnsi="宋体" w:eastAsia="宋体" w:cs="Times New Roman"/>
          <w:szCs w:val="21"/>
        </w:rPr>
      </w:pPr>
    </w:p>
    <w:p w14:paraId="7B5E1C0B">
      <w:pPr>
        <w:jc w:val="center"/>
        <w:outlineLvl w:val="9"/>
        <w:rPr>
          <w:rFonts w:hint="eastAsia" w:ascii="宋体" w:hAnsi="宋体" w:eastAsia="宋体"/>
          <w:b/>
          <w:bCs/>
          <w:sz w:val="36"/>
          <w:szCs w:val="36"/>
        </w:rPr>
      </w:pPr>
      <w:bookmarkStart w:id="1" w:name="_Toc21304"/>
      <w:r>
        <w:rPr>
          <w:rFonts w:hint="eastAsia" w:ascii="宋体" w:hAnsi="宋体" w:eastAsia="宋体"/>
          <w:b/>
          <w:bCs/>
          <w:sz w:val="36"/>
          <w:szCs w:val="36"/>
          <w:lang w:val="en-US" w:eastAsia="zh-CN"/>
        </w:rPr>
        <w:t>学员</w:t>
      </w:r>
      <w:r>
        <w:rPr>
          <w:rFonts w:hint="eastAsia" w:ascii="宋体" w:hAnsi="宋体" w:eastAsia="宋体"/>
          <w:b/>
          <w:bCs/>
          <w:sz w:val="36"/>
          <w:szCs w:val="36"/>
        </w:rPr>
        <w:t>操作手册</w:t>
      </w:r>
      <w:bookmarkEnd w:id="1"/>
    </w:p>
    <w:p w14:paraId="6466C47C">
      <w:pPr>
        <w:jc w:val="center"/>
        <w:rPr>
          <w:rFonts w:hint="eastAsia" w:ascii="宋体" w:hAnsi="宋体" w:eastAsia="宋体" w:cs="Times New Roman"/>
          <w:szCs w:val="21"/>
        </w:rPr>
      </w:pPr>
    </w:p>
    <w:p w14:paraId="558CB7DD">
      <w:pPr>
        <w:jc w:val="center"/>
        <w:rPr>
          <w:rFonts w:hint="eastAsia" w:ascii="宋体" w:hAnsi="宋体" w:eastAsia="宋体" w:cs="Times New Roman"/>
          <w:szCs w:val="21"/>
        </w:rPr>
      </w:pPr>
    </w:p>
    <w:p w14:paraId="12768BEE">
      <w:pPr>
        <w:jc w:val="center"/>
        <w:rPr>
          <w:rFonts w:hint="eastAsia" w:ascii="宋体" w:hAnsi="宋体" w:eastAsia="宋体" w:cs="Times New Roman"/>
          <w:szCs w:val="21"/>
        </w:rPr>
      </w:pPr>
    </w:p>
    <w:p w14:paraId="68E2D97D">
      <w:pPr>
        <w:jc w:val="center"/>
        <w:rPr>
          <w:rFonts w:hint="eastAsia" w:ascii="宋体" w:hAnsi="宋体" w:eastAsia="宋体" w:cs="Times New Roman"/>
          <w:szCs w:val="21"/>
        </w:rPr>
      </w:pPr>
    </w:p>
    <w:p w14:paraId="61BE7ACE">
      <w:pPr>
        <w:jc w:val="center"/>
        <w:rPr>
          <w:rFonts w:hint="eastAsia" w:ascii="宋体" w:hAnsi="宋体" w:eastAsia="宋体" w:cs="Times New Roman"/>
          <w:szCs w:val="21"/>
        </w:rPr>
      </w:pPr>
    </w:p>
    <w:p w14:paraId="637A2E57">
      <w:pPr>
        <w:jc w:val="center"/>
        <w:rPr>
          <w:rFonts w:hint="eastAsia" w:ascii="宋体" w:hAnsi="宋体" w:eastAsia="宋体" w:cs="Times New Roman"/>
          <w:szCs w:val="21"/>
        </w:rPr>
      </w:pPr>
    </w:p>
    <w:p w14:paraId="6150A2F5">
      <w:pPr>
        <w:jc w:val="center"/>
        <w:rPr>
          <w:rFonts w:hint="eastAsia" w:ascii="宋体" w:hAnsi="宋体" w:eastAsia="宋体" w:cs="Times New Roman"/>
          <w:szCs w:val="21"/>
        </w:rPr>
      </w:pPr>
    </w:p>
    <w:p w14:paraId="26A7D863">
      <w:pPr>
        <w:jc w:val="center"/>
        <w:rPr>
          <w:rFonts w:hint="eastAsia" w:ascii="宋体" w:hAnsi="宋体" w:eastAsia="宋体" w:cs="Times New Roman"/>
          <w:szCs w:val="21"/>
        </w:rPr>
      </w:pPr>
    </w:p>
    <w:p w14:paraId="65DF5C89">
      <w:pPr>
        <w:jc w:val="center"/>
        <w:rPr>
          <w:rFonts w:hint="eastAsia" w:ascii="宋体" w:hAnsi="宋体" w:eastAsia="宋体" w:cs="Times New Roman"/>
          <w:szCs w:val="21"/>
        </w:rPr>
      </w:pPr>
    </w:p>
    <w:p w14:paraId="2B4F392A">
      <w:pPr>
        <w:jc w:val="center"/>
        <w:rPr>
          <w:rFonts w:hint="eastAsia" w:ascii="宋体" w:hAnsi="宋体" w:eastAsia="宋体" w:cs="Times New Roman"/>
          <w:szCs w:val="21"/>
        </w:rPr>
      </w:pPr>
    </w:p>
    <w:p w14:paraId="36A2B1CD">
      <w:pPr>
        <w:jc w:val="center"/>
        <w:rPr>
          <w:rFonts w:hint="eastAsia" w:ascii="宋体" w:hAnsi="宋体" w:eastAsia="宋体" w:cs="Times New Roman"/>
          <w:szCs w:val="21"/>
        </w:rPr>
      </w:pPr>
    </w:p>
    <w:p w14:paraId="6D888BA9">
      <w:pPr>
        <w:jc w:val="center"/>
        <w:rPr>
          <w:rFonts w:hint="eastAsia" w:ascii="宋体" w:hAnsi="宋体" w:eastAsia="宋体" w:cs="Times New Roman"/>
          <w:szCs w:val="21"/>
        </w:rPr>
      </w:pPr>
    </w:p>
    <w:p w14:paraId="2A62B97F">
      <w:pPr>
        <w:jc w:val="center"/>
        <w:rPr>
          <w:rFonts w:hint="eastAsia" w:ascii="宋体" w:hAnsi="宋体" w:eastAsia="宋体" w:cs="Times New Roman"/>
          <w:szCs w:val="21"/>
        </w:rPr>
      </w:pPr>
    </w:p>
    <w:p w14:paraId="28731494">
      <w:pPr>
        <w:jc w:val="center"/>
        <w:rPr>
          <w:rFonts w:hint="eastAsia" w:ascii="宋体" w:hAnsi="宋体" w:eastAsia="宋体" w:cs="Times New Roman"/>
          <w:szCs w:val="21"/>
        </w:rPr>
      </w:pPr>
    </w:p>
    <w:p w14:paraId="61E94AA1">
      <w:pPr>
        <w:spacing w:line="276" w:lineRule="auto"/>
        <w:jc w:val="center"/>
        <w:outlineLvl w:val="9"/>
        <w:rPr>
          <w:rFonts w:hint="default" w:ascii="宋体" w:hAnsi="宋体" w:eastAsia="宋体"/>
          <w:sz w:val="32"/>
          <w:szCs w:val="32"/>
          <w:lang w:val="en-US" w:eastAsia="zh-CN"/>
        </w:rPr>
      </w:pPr>
      <w:bookmarkStart w:id="2" w:name="_Toc30133"/>
      <w:r>
        <w:rPr>
          <w:rFonts w:hint="eastAsia" w:ascii="宋体" w:hAnsi="宋体" w:eastAsia="宋体"/>
          <w:sz w:val="32"/>
          <w:szCs w:val="32"/>
        </w:rPr>
        <w:t>江苏</w:t>
      </w:r>
      <w:bookmarkEnd w:id="2"/>
      <w:r>
        <w:rPr>
          <w:rFonts w:hint="eastAsia" w:ascii="宋体" w:hAnsi="宋体" w:eastAsia="宋体"/>
          <w:sz w:val="32"/>
          <w:szCs w:val="32"/>
          <w:lang w:val="en-US" w:eastAsia="zh-CN"/>
        </w:rPr>
        <w:t>省教育装备与勤工俭学管理中心</w:t>
      </w:r>
    </w:p>
    <w:p w14:paraId="4DE0ECA9">
      <w:pPr>
        <w:spacing w:line="276" w:lineRule="auto"/>
        <w:jc w:val="center"/>
        <w:rPr>
          <w:rFonts w:hint="eastAsia" w:ascii="宋体" w:hAnsi="宋体" w:eastAsia="宋体"/>
          <w:sz w:val="32"/>
          <w:szCs w:val="32"/>
        </w:rPr>
      </w:pPr>
      <w:r>
        <w:rPr>
          <w:rFonts w:hint="eastAsia" w:ascii="宋体" w:hAnsi="宋体" w:eastAsia="宋体"/>
          <w:sz w:val="32"/>
          <w:szCs w:val="32"/>
        </w:rPr>
        <w:t>202</w:t>
      </w:r>
      <w:r>
        <w:rPr>
          <w:rFonts w:hint="eastAsia" w:ascii="宋体" w:hAnsi="宋体" w:eastAsia="宋体"/>
          <w:sz w:val="32"/>
          <w:szCs w:val="32"/>
          <w:lang w:val="en-US" w:eastAsia="zh-CN"/>
        </w:rPr>
        <w:t>5</w:t>
      </w:r>
      <w:r>
        <w:rPr>
          <w:rFonts w:hint="eastAsia" w:ascii="宋体" w:hAnsi="宋体" w:eastAsia="宋体"/>
          <w:sz w:val="32"/>
          <w:szCs w:val="32"/>
        </w:rPr>
        <w:t>年</w:t>
      </w:r>
      <w:r>
        <w:rPr>
          <w:rFonts w:hint="eastAsia" w:ascii="宋体" w:hAnsi="宋体" w:eastAsia="宋体"/>
          <w:sz w:val="32"/>
          <w:szCs w:val="32"/>
          <w:lang w:val="en-US" w:eastAsia="zh-CN"/>
        </w:rPr>
        <w:t>6</w:t>
      </w:r>
      <w:r>
        <w:rPr>
          <w:rFonts w:hint="eastAsia" w:ascii="宋体" w:hAnsi="宋体" w:eastAsia="宋体"/>
          <w:sz w:val="32"/>
          <w:szCs w:val="32"/>
        </w:rPr>
        <w:t>月</w:t>
      </w:r>
    </w:p>
    <w:p w14:paraId="03860B04">
      <w:pPr>
        <w:rPr>
          <w:rFonts w:hint="eastAsia" w:ascii="宋体" w:hAnsi="宋体" w:eastAsia="宋体" w:cs="宋体"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51968"/>
        <w15:color w:val="DBDBDB"/>
        <w:docPartObj>
          <w:docPartGallery w:val="Table of Contents"/>
          <w:docPartUnique/>
        </w:docPartObj>
      </w:sdtPr>
      <w:sdtEndPr>
        <w:rPr>
          <w:rFonts w:hint="eastAsia" w:ascii="宋体" w:hAnsi="宋体" w:eastAsia="宋体" w:cs="宋体"/>
          <w:b/>
          <w:kern w:val="2"/>
          <w:sz w:val="21"/>
          <w:szCs w:val="24"/>
          <w:lang w:val="en-US" w:eastAsia="zh-CN" w:bidi="ar-SA"/>
        </w:rPr>
      </w:sdtEndPr>
      <w:sdtContent>
        <w:p w14:paraId="0A2CEEFB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44"/>
              <w:szCs w:val="44"/>
            </w:rPr>
            <w:t>目</w:t>
          </w:r>
          <w:r>
            <w:rPr>
              <w:rFonts w:hint="eastAsia" w:ascii="宋体" w:hAnsi="宋体" w:eastAsia="宋体"/>
              <w:sz w:val="44"/>
              <w:szCs w:val="44"/>
              <w:lang w:val="en-US" w:eastAsia="zh-CN"/>
            </w:rPr>
            <w:t xml:space="preserve">  </w:t>
          </w:r>
          <w:r>
            <w:rPr>
              <w:rFonts w:ascii="宋体" w:hAnsi="宋体" w:eastAsia="宋体"/>
              <w:sz w:val="44"/>
              <w:szCs w:val="44"/>
            </w:rPr>
            <w:t>录</w:t>
          </w:r>
        </w:p>
        <w:p w14:paraId="07CF7997"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instrText xml:space="preserve">TOC \o "1-2" \h \u </w:instrTex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_Toc19679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 w:cs="黑体"/>
              <w:szCs w:val="24"/>
              <w:lang w:val="en-US" w:eastAsia="zh-CN"/>
            </w:rPr>
            <w:t>1. 注册和登录</w:t>
          </w:r>
          <w:r>
            <w:tab/>
          </w:r>
          <w:r>
            <w:fldChar w:fldCharType="begin"/>
          </w:r>
          <w:r>
            <w:instrText xml:space="preserve"> PAGEREF _Toc19679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1A91559C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_Toc21183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1.1 用户注册</w:t>
          </w:r>
          <w:r>
            <w:tab/>
          </w:r>
          <w:r>
            <w:fldChar w:fldCharType="begin"/>
          </w:r>
          <w:r>
            <w:instrText xml:space="preserve"> PAGEREF _Toc21183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74D82D6D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_Toc5830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1.2 用户登录</w:t>
          </w:r>
          <w:r>
            <w:tab/>
          </w:r>
          <w:r>
            <w:fldChar w:fldCharType="begin"/>
          </w:r>
          <w:r>
            <w:instrText xml:space="preserve"> PAGEREF _Toc5830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57C11D6E"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_Toc942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 w:cs="黑体"/>
              <w:szCs w:val="24"/>
              <w:lang w:val="en-US" w:eastAsia="zh-CN"/>
            </w:rPr>
            <w:t>2. 首页</w:t>
          </w:r>
          <w:r>
            <w:tab/>
          </w:r>
          <w:r>
            <w:fldChar w:fldCharType="begin"/>
          </w:r>
          <w:r>
            <w:instrText xml:space="preserve"> PAGEREF _Toc942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0068D8D5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_Toc9259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2.1 教育新闻</w:t>
          </w:r>
          <w:r>
            <w:tab/>
          </w:r>
          <w:r>
            <w:fldChar w:fldCharType="begin"/>
          </w:r>
          <w:r>
            <w:instrText xml:space="preserve"> PAGEREF _Toc9259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3C52B961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_Toc5770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2.2 下载专区</w:t>
          </w:r>
          <w:r>
            <w:tab/>
          </w:r>
          <w:r>
            <w:fldChar w:fldCharType="begin"/>
          </w:r>
          <w:r>
            <w:instrText xml:space="preserve"> PAGEREF _Toc5770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169F5BC6"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_Toc26525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 xml:space="preserve">3. </w:t>
          </w:r>
          <w:r>
            <w:rPr>
              <w:rFonts w:hint="eastAsia" w:ascii="黑体" w:hAnsi="黑体" w:eastAsia="黑体" w:cs="黑体"/>
              <w:szCs w:val="24"/>
              <w:lang w:val="en-US" w:eastAsia="zh-CN"/>
            </w:rPr>
            <w:t>资源管理</w:t>
          </w:r>
          <w:r>
            <w:tab/>
          </w:r>
          <w:r>
            <w:fldChar w:fldCharType="begin"/>
          </w:r>
          <w:r>
            <w:instrText xml:space="preserve"> PAGEREF _Toc26525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14E0B829"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_Toc20673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 w:cs="黑体"/>
              <w:szCs w:val="24"/>
              <w:lang w:val="en-US" w:eastAsia="zh-CN"/>
            </w:rPr>
            <w:t>4. 培训管理</w:t>
          </w:r>
          <w:r>
            <w:tab/>
          </w:r>
          <w:r>
            <w:fldChar w:fldCharType="begin"/>
          </w:r>
          <w:r>
            <w:instrText xml:space="preserve"> PAGEREF _Toc20673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65BC4E83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_Toc16746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4.1 培训列表</w:t>
          </w:r>
          <w:r>
            <w:tab/>
          </w:r>
          <w:r>
            <w:fldChar w:fldCharType="begin"/>
          </w:r>
          <w:r>
            <w:instrText xml:space="preserve"> PAGEREF _Toc16746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2A2275B2">
          <w:pPr>
            <w:pStyle w:val="5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_Toc26531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zCs w:val="24"/>
              <w:lang w:val="en-US" w:eastAsia="zh-CN"/>
            </w:rPr>
            <w:t>4.2 我的培训</w:t>
          </w:r>
          <w:r>
            <w:tab/>
          </w:r>
          <w:r>
            <w:fldChar w:fldCharType="begin"/>
          </w:r>
          <w:r>
            <w:instrText xml:space="preserve"> PAGEREF _Toc26531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59E21E2D">
          <w:pPr>
            <w:pStyle w:val="4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instrText xml:space="preserve"> HYPERLINK \l _Toc22288 </w:instrText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separate"/>
          </w:r>
          <w:r>
            <w:rPr>
              <w:rFonts w:hint="eastAsia" w:ascii="黑体" w:hAnsi="黑体" w:eastAsia="黑体" w:cs="黑体"/>
              <w:szCs w:val="24"/>
              <w:lang w:val="en-US" w:eastAsia="zh-CN"/>
            </w:rPr>
            <w:t>5. 个人中心</w:t>
          </w:r>
          <w:r>
            <w:tab/>
          </w:r>
          <w:r>
            <w:fldChar w:fldCharType="begin"/>
          </w:r>
          <w:r>
            <w:instrText xml:space="preserve"> PAGEREF _Toc22288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  <w:p w14:paraId="58546AAD">
          <w:pPr>
            <w:spacing w:line="360" w:lineRule="auto"/>
            <w:outlineLvl w:val="9"/>
            <w:rPr>
              <w:rFonts w:hint="eastAsia" w:ascii="宋体" w:hAnsi="宋体" w:eastAsia="宋体" w:cs="宋体"/>
              <w:b/>
              <w:kern w:val="2"/>
              <w:sz w:val="21"/>
              <w:szCs w:val="24"/>
              <w:lang w:val="en-US" w:eastAsia="zh-CN" w:bidi="ar-SA"/>
            </w:rPr>
          </w:pPr>
          <w:r>
            <w:rPr>
              <w:rFonts w:hint="eastAsia" w:ascii="宋体" w:hAnsi="宋体" w:eastAsia="宋体" w:cs="宋体"/>
              <w:szCs w:val="24"/>
              <w:lang w:val="en-US" w:eastAsia="zh-CN"/>
            </w:rPr>
            <w:fldChar w:fldCharType="end"/>
          </w:r>
        </w:p>
      </w:sdtContent>
    </w:sdt>
    <w:p w14:paraId="5D352C90">
      <w:pPr>
        <w:spacing w:line="360" w:lineRule="auto"/>
        <w:outlineLvl w:val="9"/>
        <w:rPr>
          <w:rFonts w:hint="eastAsia" w:ascii="宋体" w:hAnsi="宋体" w:eastAsia="宋体" w:cs="宋体"/>
          <w:b/>
          <w:kern w:val="2"/>
          <w:sz w:val="21"/>
          <w:szCs w:val="24"/>
          <w:lang w:val="en-US" w:eastAsia="zh-CN" w:bidi="ar-SA"/>
        </w:rPr>
        <w:sectPr>
          <w:footerReference r:id="rId3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p w14:paraId="27BCD2D7">
      <w:pPr>
        <w:numPr>
          <w:ilvl w:val="0"/>
          <w:numId w:val="1"/>
        </w:numPr>
        <w:spacing w:line="360" w:lineRule="auto"/>
        <w:outlineLvl w:val="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bookmarkStart w:id="3" w:name="_Toc19679"/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注册和登录</w:t>
      </w:r>
      <w:bookmarkEnd w:id="3"/>
    </w:p>
    <w:p w14:paraId="33B37E9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4" w:name="_Toc21183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1.1 用户注册</w:t>
      </w:r>
      <w:bookmarkEnd w:id="4"/>
    </w:p>
    <w:p w14:paraId="162F148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用户在平台登录界面，点击“学员注册申请”，选择“未注册”。</w:t>
      </w:r>
    </w:p>
    <w:p w14:paraId="7B1D0882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2616835"/>
            <wp:effectExtent l="0" t="0" r="508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71EBB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724150"/>
            <wp:effectExtent l="0" t="0" r="1206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02F39A"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br w:type="page"/>
      </w:r>
    </w:p>
    <w:p w14:paraId="5ECCD203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填写手机号码作为账号、姓名、性别和身份证号，点击“下一步”。</w:t>
      </w:r>
    </w:p>
    <w:p w14:paraId="6CFC9FFB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3040" cy="2696210"/>
            <wp:effectExtent l="0" t="0" r="381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F22C2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填写所在地区、学校/单位（“学校/单位”支持模糊搜索）、当前任职学段、当前任职学科、职称、学历、当前工作岗位、当前管理室别等信息，点击“下一步”。</w:t>
      </w:r>
    </w:p>
    <w:p w14:paraId="115B0016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3976370"/>
            <wp:effectExtent l="0" t="0" r="508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7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307EF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722DD4E3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4A3DA23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填写需要设置的密码，在“确认密码”处填写和“设置密码”相同的密码，点击获取验证码，填写手机验证码后点击“提交”。提交后会进入待审核状态。</w:t>
      </w:r>
    </w:p>
    <w:p w14:paraId="738DC065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9230" cy="2983865"/>
            <wp:effectExtent l="0" t="0" r="762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8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8F634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4310" cy="2063115"/>
            <wp:effectExtent l="0" t="0" r="254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A3B4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outlineLvl w:val="1"/>
        <w:rPr>
          <w:rFonts w:hint="default" w:ascii="宋体" w:hAnsi="宋体" w:eastAsia="宋体" w:cs="宋体"/>
          <w:sz w:val="24"/>
          <w:szCs w:val="24"/>
          <w:lang w:val="en-US"/>
        </w:rPr>
      </w:pPr>
      <w:bookmarkStart w:id="5" w:name="_Toc5830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1.2 用户登录</w:t>
      </w:r>
      <w:bookmarkEnd w:id="5"/>
    </w:p>
    <w:p w14:paraId="2A3B5DAB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用户返回登录页，点击“学员注册申请”，选择“已注册”。</w:t>
      </w:r>
    </w:p>
    <w:p w14:paraId="4253FDFD"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2616835"/>
            <wp:effectExtent l="0" t="0" r="5080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0FFF2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724150"/>
            <wp:effectExtent l="0" t="0" r="1206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BC32E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5327D254">
      <w:pPr>
        <w:spacing w:line="360" w:lineRule="auto"/>
        <w:ind w:firstLine="480" w:firstLineChars="2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输入注册的身份证号，可以查询当前审核进度和待审核状态下需要联系的学校管理员姓名。若本地区/本校管理员已审核通过，则查询结果显示为“申请成功。此时，用户即可通过注册账号和注册时设置的密码登录平台。</w:t>
      </w:r>
    </w:p>
    <w:p w14:paraId="3B64490A"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6BA5C821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3675" cy="2593975"/>
            <wp:effectExtent l="0" t="0" r="3175" b="1587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700020" cy="2355215"/>
            <wp:effectExtent l="0" t="0" r="5080" b="6985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2225040" cy="2359660"/>
            <wp:effectExtent l="0" t="0" r="3810" b="254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25040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A7591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05FC1789">
      <w:pPr>
        <w:numPr>
          <w:ilvl w:val="0"/>
          <w:numId w:val="2"/>
        </w:numPr>
        <w:spacing w:line="360" w:lineRule="auto"/>
        <w:outlineLvl w:val="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bookmarkStart w:id="6" w:name="_Toc942"/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首页</w:t>
      </w:r>
      <w:bookmarkEnd w:id="6"/>
    </w:p>
    <w:p w14:paraId="0584136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在首页模块，支持查看新闻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banner图、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教育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新闻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和下载专区。</w:t>
      </w:r>
    </w:p>
    <w:p w14:paraId="6EED3294">
      <w:pPr>
        <w:numPr>
          <w:ilvl w:val="0"/>
          <w:numId w:val="0"/>
        </w:numPr>
        <w:spacing w:line="360" w:lineRule="auto"/>
        <w:outlineLvl w:val="1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7" w:name="_Toc9259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2.1 教育新闻</w:t>
      </w:r>
      <w:bookmarkEnd w:id="7"/>
    </w:p>
    <w:p w14:paraId="170AB44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用户在【教育新闻】模块，可以查看新闻和优秀培训案例。点击新闻旁边的“详情”按钮，可查看新闻详情。点击“查看更多”，可查看新闻列表。</w:t>
      </w:r>
    </w:p>
    <w:p w14:paraId="2D31EB31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0340" cy="2637155"/>
            <wp:effectExtent l="0" t="0" r="16510" b="1079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63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A5806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0500" cy="2519045"/>
            <wp:effectExtent l="0" t="0" r="6350" b="14605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1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2A545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79B1A535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153A84F5">
      <w:pPr>
        <w:numPr>
          <w:ilvl w:val="0"/>
          <w:numId w:val="0"/>
        </w:numPr>
        <w:spacing w:line="360" w:lineRule="auto"/>
        <w:outlineLvl w:val="1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8" w:name="_Toc5770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2.2 下载专区</w:t>
      </w:r>
      <w:bookmarkEnd w:id="8"/>
    </w:p>
    <w:p w14:paraId="7BC8B1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用户在【下载专区】，可查看政策文件、行业标准等，点击文件后的“下载”，即可下载对应文件。</w:t>
      </w:r>
    </w:p>
    <w:p w14:paraId="32C86A1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点击“查看更多”，可在下载专区根据文件名称或文件类型进行搜索。点击“重置”可重置搜索选项。</w:t>
      </w:r>
    </w:p>
    <w:p w14:paraId="0D3370AE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643505"/>
            <wp:effectExtent l="0" t="0" r="12065" b="444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4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C6951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</w:rPr>
      </w:pPr>
    </w:p>
    <w:p w14:paraId="44DB9311">
      <w:pPr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9" w:name="_Toc26525"/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资源管理</w:t>
      </w:r>
      <w:bookmarkEnd w:id="9"/>
    </w:p>
    <w:p w14:paraId="0A510F55">
      <w:pPr>
        <w:numPr>
          <w:ilvl w:val="0"/>
          <w:numId w:val="0"/>
        </w:numPr>
        <w:spacing w:line="360" w:lineRule="auto"/>
        <w:ind w:leftChars="0" w:firstLine="480" w:firstLineChars="20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可【资源中心】模块，查看平台内的所有资源。点击具体资源可查看对应的资源附件、资源信息和测试题。可根据资源名称、适用岗位、适用学段、适用学科或资源摘要进行查询。点击“重置”可重置查询选项。</w:t>
      </w:r>
    </w:p>
    <w:p w14:paraId="5A8F7A08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407DDD66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0500" cy="2665730"/>
            <wp:effectExtent l="0" t="0" r="6350" b="127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CBF14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</w:rPr>
      </w:pPr>
    </w:p>
    <w:p w14:paraId="429F808D">
      <w:pPr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bookmarkStart w:id="10" w:name="_Toc20673"/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培训管理</w:t>
      </w:r>
      <w:bookmarkEnd w:id="10"/>
    </w:p>
    <w:p w14:paraId="21EDE987">
      <w:pPr>
        <w:numPr>
          <w:ilvl w:val="0"/>
          <w:numId w:val="0"/>
        </w:numPr>
        <w:spacing w:line="360" w:lineRule="auto"/>
        <w:ind w:leftChars="0"/>
        <w:outlineLvl w:val="1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11" w:name="_Toc16746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4.1 培训列表</w:t>
      </w:r>
      <w:bookmarkEnd w:id="11"/>
    </w:p>
    <w:p w14:paraId="6E37014E">
      <w:pPr>
        <w:numPr>
          <w:ilvl w:val="0"/>
          <w:numId w:val="0"/>
        </w:numPr>
        <w:spacing w:line="360" w:lineRule="auto"/>
        <w:ind w:firstLine="480" w:firstLineChars="20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用户可在【培训列表】模块查看当前报名阶段的培训列表。点击“查看”可查看培训详情，点击“报名”可进行该培训的报名操作。</w:t>
      </w:r>
    </w:p>
    <w:p w14:paraId="5A3CD0D0">
      <w:pPr>
        <w:numPr>
          <w:ilvl w:val="0"/>
          <w:numId w:val="0"/>
        </w:numPr>
        <w:spacing w:line="360" w:lineRule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0500" cy="2649220"/>
            <wp:effectExtent l="0" t="0" r="6350" b="1778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4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55794">
      <w:pPr>
        <w:numPr>
          <w:ilvl w:val="0"/>
          <w:numId w:val="0"/>
        </w:numPr>
        <w:spacing w:line="360" w:lineRule="auto"/>
        <w:ind w:leftChars="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3D9C4056">
      <w:pPr>
        <w:numPr>
          <w:ilvl w:val="0"/>
          <w:numId w:val="0"/>
        </w:numPr>
        <w:spacing w:line="360" w:lineRule="auto"/>
        <w:ind w:leftChars="0"/>
        <w:outlineLvl w:val="1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12" w:name="_Toc26531"/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4.2 我的培训</w:t>
      </w:r>
      <w:bookmarkEnd w:id="12"/>
    </w:p>
    <w:p w14:paraId="29E855E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当培训开始后，学员可在【我的培训】模块进行培训项目学习。</w:t>
      </w:r>
    </w:p>
    <w:p w14:paraId="6968642B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点击“去学习”，可以进行培训详情的学习。如果本次培训布置了作业，可以在详情页面点击“去完成作业”，查看、完成作业内容。</w:t>
      </w:r>
    </w:p>
    <w:p w14:paraId="68B5584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点击“查看”，可以回顾查看本培训的培训信息、学习资源和延伸阅读的内容。</w:t>
      </w:r>
    </w:p>
    <w:p w14:paraId="211F0719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585720"/>
            <wp:effectExtent l="0" t="0" r="12065" b="508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5A02D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2189480"/>
            <wp:effectExtent l="0" t="0" r="5080" b="1270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A24E8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 w14:paraId="0C77918B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点击“班级”按钮，可以查看具体班级信息和班级消息。</w:t>
      </w:r>
    </w:p>
    <w:p w14:paraId="1BCC5DD6"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7325" cy="2165350"/>
            <wp:effectExtent l="0" t="0" r="9525" b="6350"/>
            <wp:docPr id="2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9A7EF"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3794ED56">
      <w:pPr>
        <w:numPr>
          <w:ilvl w:val="0"/>
          <w:numId w:val="0"/>
        </w:numPr>
        <w:spacing w:line="360" w:lineRule="auto"/>
        <w:ind w:leftChars="0"/>
        <w:outlineLvl w:val="9"/>
        <w:rPr>
          <w:rFonts w:hint="eastAsia" w:ascii="宋体" w:hAnsi="宋体" w:eastAsia="宋体" w:cs="宋体"/>
          <w:sz w:val="24"/>
          <w:szCs w:val="24"/>
        </w:rPr>
      </w:pPr>
    </w:p>
    <w:p w14:paraId="3D88E9BA">
      <w:pPr>
        <w:numPr>
          <w:ilvl w:val="0"/>
          <w:numId w:val="2"/>
        </w:numPr>
        <w:spacing w:line="360" w:lineRule="auto"/>
        <w:ind w:left="0" w:leftChars="0" w:firstLine="0" w:firstLineChars="0"/>
        <w:outlineLvl w:val="0"/>
        <w:rPr>
          <w:rFonts w:hint="eastAsia" w:ascii="黑体" w:hAnsi="黑体" w:eastAsia="黑体" w:cs="黑体"/>
          <w:sz w:val="24"/>
          <w:szCs w:val="24"/>
          <w:lang w:val="en-US" w:eastAsia="zh-CN"/>
        </w:rPr>
      </w:pPr>
      <w:bookmarkStart w:id="13" w:name="_Toc22288"/>
      <w:r>
        <w:rPr>
          <w:rFonts w:hint="eastAsia" w:ascii="黑体" w:hAnsi="黑体" w:eastAsia="黑体" w:cs="黑体"/>
          <w:sz w:val="24"/>
          <w:szCs w:val="24"/>
          <w:lang w:val="en-US" w:eastAsia="zh-CN"/>
        </w:rPr>
        <w:t>个人中心</w:t>
      </w:r>
      <w:bookmarkEnd w:id="13"/>
    </w:p>
    <w:p w14:paraId="5D3F85D6">
      <w:pPr>
        <w:numPr>
          <w:ilvl w:val="0"/>
          <w:numId w:val="0"/>
        </w:numPr>
        <w:spacing w:line="360" w:lineRule="auto"/>
        <w:ind w:leftChars="0" w:firstLine="480" w:firstLineChars="20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用户在【个人中心】模块查看个人信息和自己的培训统计、学习记录和获取证书等情况，证书支持进行预览或下载。</w:t>
      </w:r>
    </w:p>
    <w:p w14:paraId="1034604D">
      <w:pPr>
        <w:numPr>
          <w:ilvl w:val="0"/>
          <w:numId w:val="0"/>
        </w:numPr>
        <w:spacing w:line="360" w:lineRule="auto"/>
        <w:ind w:leftChars="0" w:firstLine="480" w:firstLineChars="20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点击“编辑”可修改个人信息，点击“修改密码”可修改个人登录密码。</w:t>
      </w:r>
    </w:p>
    <w:p w14:paraId="2DECBC16">
      <w:pPr>
        <w:numPr>
          <w:ilvl w:val="0"/>
          <w:numId w:val="0"/>
        </w:numPr>
        <w:spacing w:line="360" w:lineRule="auto"/>
        <w:ind w:leftChars="0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2245" cy="2574290"/>
            <wp:effectExtent l="0" t="0" r="14605" b="1651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7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99820">
      <w:pPr>
        <w:numPr>
          <w:ilvl w:val="0"/>
          <w:numId w:val="0"/>
        </w:numPr>
        <w:spacing w:line="360" w:lineRule="auto"/>
        <w:ind w:leftChars="0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56530" cy="2604770"/>
            <wp:effectExtent l="0" t="0" r="1270" b="5080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60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5BC83"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sectPr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7697EB98-764B-46AA-9A5E-56B757C0C52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7C4D5DDA-E2AE-4A92-A6D6-11527C2E982E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3" w:fontKey="{369970D8-002F-41E7-884B-EF85E0150B6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83684C"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C7C0D2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2A8285B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2A8285B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FBBD52"/>
    <w:multiLevelType w:val="singleLevel"/>
    <w:tmpl w:val="1BFBBD5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D26EF87"/>
    <w:multiLevelType w:val="singleLevel"/>
    <w:tmpl w:val="5D26EF87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U4MWJmNGRiM2RiMDk5YTA5MDgzZTkxZjljYjcyNDUifQ=="/>
  </w:docVars>
  <w:rsids>
    <w:rsidRoot w:val="387437AC"/>
    <w:rsid w:val="11A34C0D"/>
    <w:rsid w:val="29940478"/>
    <w:rsid w:val="308C2216"/>
    <w:rsid w:val="317816F0"/>
    <w:rsid w:val="387437AC"/>
    <w:rsid w:val="40F55DC9"/>
    <w:rsid w:val="450B3374"/>
    <w:rsid w:val="5AEB4B91"/>
    <w:rsid w:val="629A2117"/>
    <w:rsid w:val="665F5B94"/>
    <w:rsid w:val="6759214B"/>
    <w:rsid w:val="74B92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toc 1"/>
    <w:basedOn w:val="1"/>
    <w:next w:val="1"/>
    <w:uiPriority w:val="0"/>
  </w:style>
  <w:style w:type="paragraph" w:styleId="5">
    <w:name w:val="toc 2"/>
    <w:basedOn w:val="1"/>
    <w:next w:val="1"/>
    <w:qFormat/>
    <w:uiPriority w:val="0"/>
    <w:pPr>
      <w:ind w:left="420" w:leftChars="200"/>
    </w:pPr>
  </w:style>
  <w:style w:type="paragraph" w:customStyle="1" w:styleId="8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9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1051</Words>
  <Characters>1088</Characters>
  <Lines>0</Lines>
  <Paragraphs>0</Paragraphs>
  <TotalTime>8</TotalTime>
  <ScaleCrop>false</ScaleCrop>
  <LinksUpToDate>false</LinksUpToDate>
  <CharactersWithSpaces>1142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2024-08-27T07:24:00Z</dcterms:created>
  <dc:creator>张小飞</dc:creator>
  <cp:lastModifiedBy>Y</cp:lastModifiedBy>
  <dcterms:modified xsi:type="dcterms:W3CDTF">2025-06-03T09:41:57Z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C2DCE47B07434BFCBE64D6F6450FCC83_11</vt:lpwstr>
  </property>
  <property fmtid="{D5CDD505-2E9C-101B-9397-08002B2CF9AE}" pid="4" name="KSOTemplateDocerSaveRecord">
    <vt:lpwstr>eyJoZGlkIjoiYTUwOTc2MjgxNzA2NWU3MGM5NjdhNDkzMTY4OGRhMzQiLCJ1c2VySWQiOiIxMDgzODgxNDQ5In0=</vt:lpwstr>
  </property>
</Properties>
</file>