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十四</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三</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EB2B7CB">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941C7C7">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31</w:t>
      </w:r>
      <w:r>
        <w:rPr>
          <w:rFonts w:hint="eastAsia"/>
        </w:rPr>
        <w:t>人，</w:t>
      </w:r>
      <w:r>
        <w:rPr>
          <w:rFonts w:hint="eastAsia"/>
          <w:lang w:val="en-US" w:eastAsia="zh-CN"/>
        </w:rPr>
        <w:t>2</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03_083635.jpgIMG_20251203_08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03_083635.jpgIMG_20251203_083635"/>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03_084149.jpgIMG_20251203_08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03_084149.jpgIMG_20251203_084149"/>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03_084244.jpgIMG_20251203_08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03_084244.jpgIMG_20251203_084244"/>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03_084250.jpgIMG_20251203_08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03_084250.jpgIMG_20251203_084250"/>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03_084314.jpgIMG_20251203_08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03_084314.jpgIMG_20251203_084314"/>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02_092033.jpgIMG_20251202_09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02_092033.jpgIMG_20251202_092033"/>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szCs w:val="21"/>
        </w:rPr>
        <w:t>这是一次综合活动。</w:t>
      </w:r>
      <w:r>
        <w:rPr>
          <w:rFonts w:hint="eastAsia"/>
        </w:rPr>
        <w:t>耳、眉、眼、鼻、口统称为五官，每一部分都起着各自不同的作用。</w:t>
      </w:r>
      <w:r>
        <w:rPr>
          <w:rFonts w:hint="eastAsia" w:ascii="宋体" w:hAnsi="宋体"/>
          <w:szCs w:val="21"/>
        </w:rPr>
        <w:t>由于小班</w:t>
      </w:r>
      <w:r>
        <w:rPr>
          <w:rFonts w:hint="eastAsia" w:ascii="宋体" w:hAnsi="宋体"/>
          <w:szCs w:val="21"/>
          <w:lang w:eastAsia="zh-CN"/>
        </w:rPr>
        <w:t>幼儿</w:t>
      </w:r>
      <w:r>
        <w:rPr>
          <w:rFonts w:hint="eastAsia" w:ascii="宋体" w:hAnsi="宋体"/>
          <w:szCs w:val="21"/>
        </w:rPr>
        <w:t>具有较强的好奇心，对周围事物的兴趣非常浓厚，为了让孩子们更好地了解、感知五官，知道它们不同的作用并学会自我保护，我们预设了这一活动。</w:t>
      </w:r>
      <w:r>
        <w:rPr>
          <w:rFonts w:hint="eastAsia" w:ascii="宋体" w:hAnsi="宋体" w:cs="宋体"/>
          <w:color w:val="000000"/>
          <w:kern w:val="0"/>
          <w:szCs w:val="21"/>
        </w:rPr>
        <w:t>能</w:t>
      </w:r>
      <w:r>
        <w:rPr>
          <w:rFonts w:hint="eastAsia" w:ascii="宋体" w:hAnsi="宋体" w:cs="宋体"/>
          <w:color w:val="000000"/>
          <w:kern w:val="0"/>
          <w:szCs w:val="21"/>
          <w:lang w:val="en-US" w:eastAsia="zh-CN"/>
        </w:rPr>
        <w:t>够</w:t>
      </w:r>
      <w:r>
        <w:rPr>
          <w:rFonts w:hint="eastAsia" w:ascii="宋体" w:hAnsi="宋体" w:eastAsia="宋体" w:cs="宋体"/>
          <w:snapToGrid/>
          <w:sz w:val="21"/>
          <w:lang w:eastAsia="zh-CN"/>
        </w:rPr>
        <w:t>在游戏中熟悉五</w:t>
      </w:r>
      <w:r>
        <w:rPr>
          <w:rFonts w:hint="default"/>
          <w:snapToGrid/>
          <w:sz w:val="21"/>
          <w:lang w:eastAsia="zh-CN"/>
        </w:rPr>
        <w:t>官的位置并能正确的表述</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b/>
          <w:bCs/>
          <w:u w:val="single"/>
          <w:lang w:val="en-US" w:eastAsia="zh-CN"/>
        </w:rPr>
        <w:t>.</w:t>
      </w:r>
      <w:bookmarkStart w:id="0" w:name="_GoBack"/>
      <w:bookmarkEnd w:id="0"/>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0B917C52"/>
    <w:rsid w:val="0E342E47"/>
    <w:rsid w:val="13E81052"/>
    <w:rsid w:val="16A448E1"/>
    <w:rsid w:val="17915C89"/>
    <w:rsid w:val="18966EE2"/>
    <w:rsid w:val="196A7B0C"/>
    <w:rsid w:val="1CAE5AC1"/>
    <w:rsid w:val="225603C6"/>
    <w:rsid w:val="22575365"/>
    <w:rsid w:val="27CA5EA9"/>
    <w:rsid w:val="2AED16F3"/>
    <w:rsid w:val="2B1B427C"/>
    <w:rsid w:val="2B6C62CF"/>
    <w:rsid w:val="2FC85CA1"/>
    <w:rsid w:val="363D2887"/>
    <w:rsid w:val="36BB5DDF"/>
    <w:rsid w:val="3A211A55"/>
    <w:rsid w:val="3A2F3A82"/>
    <w:rsid w:val="3B5461BC"/>
    <w:rsid w:val="41D00C05"/>
    <w:rsid w:val="420F6490"/>
    <w:rsid w:val="44244E39"/>
    <w:rsid w:val="443F3AFE"/>
    <w:rsid w:val="44976CE4"/>
    <w:rsid w:val="45485D39"/>
    <w:rsid w:val="4BFD5399"/>
    <w:rsid w:val="4C56421A"/>
    <w:rsid w:val="4EFC70A4"/>
    <w:rsid w:val="4F8B3490"/>
    <w:rsid w:val="50E5304A"/>
    <w:rsid w:val="53067EC3"/>
    <w:rsid w:val="53EA6563"/>
    <w:rsid w:val="54272352"/>
    <w:rsid w:val="54B853F7"/>
    <w:rsid w:val="55AE526F"/>
    <w:rsid w:val="56685866"/>
    <w:rsid w:val="60A7597A"/>
    <w:rsid w:val="6428007F"/>
    <w:rsid w:val="66855F48"/>
    <w:rsid w:val="67B557CA"/>
    <w:rsid w:val="696B7D83"/>
    <w:rsid w:val="6A4F5787"/>
    <w:rsid w:val="6C8824A7"/>
    <w:rsid w:val="6D262E69"/>
    <w:rsid w:val="6F2131C7"/>
    <w:rsid w:val="72513F19"/>
    <w:rsid w:val="72DB435C"/>
    <w:rsid w:val="74DF7959"/>
    <w:rsid w:val="75A24B7B"/>
    <w:rsid w:val="779B2290"/>
    <w:rsid w:val="797D10DD"/>
    <w:rsid w:val="7A172C33"/>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1273</Words>
  <Characters>1303</Characters>
  <Lines>13</Lines>
  <Paragraphs>3</Paragraphs>
  <TotalTime>0</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2025-12-03T02:34:32Z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69596F37C9E845E0BC9F78345DA0E47D_13</vt:lpwstr>
  </property>
</Properties>
</file>