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EE41C">
      <w:pPr>
        <w:pStyle w:val="2"/>
        <w:jc w:val="center"/>
        <w:rPr>
          <w:rFonts w:hint="eastAsia" w:ascii="_x000B__x000C_" w:hAnsi="_x000B__x000C_"/>
          <w:b/>
          <w:sz w:val="48"/>
          <w:szCs w:val="48"/>
        </w:rPr>
      </w:pPr>
      <w:bookmarkStart w:id="0" w:name="OLE_LINK1"/>
      <w:r>
        <w:rPr>
          <w:rFonts w:hint="eastAsia" w:ascii="_x000B__x000C_" w:hAnsi="_x000B__x000C_"/>
          <w:b/>
          <w:sz w:val="48"/>
          <w:szCs w:val="48"/>
          <w:lang w:eastAsia="zh-CN"/>
        </w:rPr>
        <w:t>雪堰</w:t>
      </w:r>
      <w:r>
        <w:rPr>
          <w:rFonts w:hint="eastAsia" w:ascii="_x000B__x000C_" w:hAnsi="_x000B__x000C_"/>
          <w:b/>
          <w:sz w:val="48"/>
          <w:szCs w:val="48"/>
        </w:rPr>
        <w:t>中心小学集体备课记录表</w:t>
      </w:r>
    </w:p>
    <w:p w14:paraId="7FD96B4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hint="default" w:ascii="_x000B__x000C_" w:hAnsi="_x000B__x000C_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学科：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>语文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-202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学期   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十四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</w:p>
    <w:tbl>
      <w:tblPr>
        <w:tblStyle w:val="3"/>
        <w:tblpPr w:leftFromText="180" w:rightFromText="180" w:vertAnchor="text" w:horzAnchor="margin" w:tblpXSpec="center" w:tblpY="17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27"/>
        <w:gridCol w:w="1267"/>
        <w:gridCol w:w="1606"/>
        <w:gridCol w:w="547"/>
        <w:gridCol w:w="1260"/>
        <w:gridCol w:w="1260"/>
      </w:tblGrid>
      <w:tr w14:paraId="6AF2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C5C521C">
            <w:pPr>
              <w:pStyle w:val="2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时  间</w:t>
            </w:r>
          </w:p>
        </w:tc>
        <w:tc>
          <w:tcPr>
            <w:tcW w:w="1927" w:type="dxa"/>
            <w:tcBorders>
              <w:left w:val="inset" w:color="auto" w:sz="6" w:space="0"/>
            </w:tcBorders>
            <w:noWrap w:val="0"/>
            <w:vAlign w:val="top"/>
          </w:tcPr>
          <w:p w14:paraId="0EC26DFE">
            <w:pPr>
              <w:pStyle w:val="2"/>
              <w:wordWrap w:val="0"/>
              <w:jc w:val="both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2025、12、1</w:t>
            </w:r>
          </w:p>
        </w:tc>
        <w:tc>
          <w:tcPr>
            <w:tcW w:w="1267" w:type="dxa"/>
            <w:tcBorders>
              <w:left w:val="inset" w:color="auto" w:sz="6" w:space="0"/>
            </w:tcBorders>
            <w:noWrap w:val="0"/>
            <w:vAlign w:val="top"/>
          </w:tcPr>
          <w:p w14:paraId="3085A57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地点</w:t>
            </w:r>
          </w:p>
        </w:tc>
        <w:tc>
          <w:tcPr>
            <w:tcW w:w="215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 w14:paraId="16EF2808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办公室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03477479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次数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774E19E8">
            <w:pPr>
              <w:pStyle w:val="2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 w14:paraId="5878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B8F414B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主讲人</w:t>
            </w:r>
          </w:p>
        </w:tc>
        <w:tc>
          <w:tcPr>
            <w:tcW w:w="3194" w:type="dxa"/>
            <w:gridSpan w:val="2"/>
            <w:tcBorders>
              <w:left w:val="inset" w:color="auto" w:sz="6" w:space="0"/>
              <w:right w:val="single" w:color="auto" w:sz="4" w:space="0"/>
            </w:tcBorders>
            <w:noWrap w:val="0"/>
            <w:vAlign w:val="center"/>
          </w:tcPr>
          <w:p w14:paraId="7BA0F6B1">
            <w:pPr>
              <w:pStyle w:val="2"/>
              <w:ind w:firstLine="588" w:firstLineChars="24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钱洪波</w:t>
            </w:r>
          </w:p>
        </w:tc>
        <w:tc>
          <w:tcPr>
            <w:tcW w:w="1606" w:type="dxa"/>
            <w:tcBorders>
              <w:left w:val="thinThickLargeGap" w:color="auto" w:sz="4" w:space="0"/>
              <w:bottom w:val="thinThickLargeGap" w:color="auto" w:sz="0" w:space="0"/>
              <w:right w:val="single" w:color="auto" w:sz="0" w:space="0"/>
            </w:tcBorders>
            <w:noWrap w:val="0"/>
            <w:vAlign w:val="top"/>
          </w:tcPr>
          <w:p w14:paraId="46AA8AA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记录员</w:t>
            </w:r>
          </w:p>
        </w:tc>
        <w:tc>
          <w:tcPr>
            <w:tcW w:w="3067" w:type="dxa"/>
            <w:gridSpan w:val="3"/>
            <w:tcBorders>
              <w:top w:val="double" w:color="auto" w:sz="0" w:space="0"/>
              <w:left w:val="single" w:color="auto" w:sz="4" w:space="0"/>
              <w:bottom w:val="single" w:color="auto" w:sz="0" w:space="0"/>
              <w:right w:val="dashSmallGap" w:color="auto" w:sz="0" w:space="0"/>
            </w:tcBorders>
            <w:noWrap w:val="0"/>
            <w:vAlign w:val="center"/>
          </w:tcPr>
          <w:p w14:paraId="7B1DDB45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吴宸娴</w:t>
            </w:r>
          </w:p>
        </w:tc>
      </w:tr>
      <w:tr w14:paraId="2702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28697657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参加人员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0BBBC2A5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 xml:space="preserve">    陈玲霞   吴乔伊 郭静  杨晓  陆彩红 董育兰</w:t>
            </w:r>
          </w:p>
        </w:tc>
      </w:tr>
      <w:tr w14:paraId="3B8A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9857AE0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研讨主题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center"/>
          </w:tcPr>
          <w:p w14:paraId="23631283">
            <w:pPr>
              <w:pStyle w:val="2"/>
              <w:wordWrap w:val="0"/>
              <w:ind w:firstLine="720" w:firstLineChars="300"/>
              <w:jc w:val="both"/>
              <w:rPr>
                <w:rFonts w:hint="default" w:ascii="_x000B__x000C_" w:hAnsi="_x000B__x000C_" w:eastAsia="宋体"/>
                <w:b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如何用好习作例文</w:t>
            </w:r>
          </w:p>
        </w:tc>
      </w:tr>
      <w:tr w14:paraId="2288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7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035FB892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6BC83C9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过</w:t>
            </w:r>
          </w:p>
          <w:p w14:paraId="086C1347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239925FA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程</w:t>
            </w:r>
          </w:p>
          <w:p w14:paraId="565DAFF1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34485C6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</w:t>
            </w:r>
          </w:p>
          <w:p w14:paraId="57B8B042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C0B028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录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03898DD4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092C3EB7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一、 研讨目标</w:t>
            </w:r>
          </w:p>
          <w:p w14:paraId="4EFC518A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1. 深化理解：深入理解统编版三年级上册各单元习作的目标与要求，把握教学重难点。</w:t>
            </w:r>
          </w:p>
          <w:p w14:paraId="2AEFAD27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2. 用好例文：探究如何有效利用教材中的“习作例文”，发挥其“支架”作用，帮助学生克服写作畏难情绪。</w:t>
            </w:r>
          </w:p>
          <w:p w14:paraId="0615D73A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3. 策略共享：集思广益，分享和提炼针对三年级学生的习作指导、评改策略。</w:t>
            </w:r>
          </w:p>
          <w:p w14:paraId="62706E57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4. 形成共识：在关键教学点上达成年级共识，形成可推广的教学模式或资源包。</w:t>
            </w:r>
          </w:p>
          <w:p w14:paraId="1C9262CC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二、 研讨核心要点（聚焦“例文”）</w:t>
            </w:r>
          </w:p>
          <w:p w14:paraId="795C2553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在研讨中，应始终围绕以下几个核心问题展开：</w:t>
            </w:r>
          </w:p>
          <w:p w14:paraId="0B31B7D5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1. 例文“教什么”？</w:t>
            </w:r>
          </w:p>
          <w:p w14:paraId="510C434A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对标目标：这篇例文是如何具体体现本单元习作要求的？（比如：《我家的小狗》如何体现“仔细观察，把观察所得写下来”？）</w:t>
            </w:r>
          </w:p>
          <w:p w14:paraId="6E9A2D7E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聚焦要素：例文重点示范了哪个或哪些写作方法？（如：围绕一个意思写、运用多种感官、写出变化、展开想象等）</w:t>
            </w:r>
          </w:p>
          <w:p w14:paraId="0CD9D7C4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2. 例文“怎么用”？</w:t>
            </w:r>
          </w:p>
          <w:p w14:paraId="2D16F758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示范时机：在习作教学流程的哪个环节出示例文最有效？（写前指导？写中借鉴？写后评改？）</w:t>
            </w:r>
          </w:p>
          <w:p w14:paraId="1EF78F57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解读角度：如何引导学生“读”例文？是整体感知，还是聚焦片段、词句进行品析？</w:t>
            </w:r>
          </w:p>
          <w:p w14:paraId="37B7D1C0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支架搭建：如何将例文中的写作方法，转化为学生可以模仿和操作的“写作支架”（如：图表、问题清单、句式等）？</w:t>
            </w:r>
          </w:p>
          <w:p w14:paraId="22073B97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3. 如何超越例文？</w:t>
            </w:r>
          </w:p>
          <w:p w14:paraId="4C871A0F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避免套路化：如何引导学生学习例文的方法，而不是简单抄袭其内容？</w:t>
            </w:r>
          </w:p>
          <w:p w14:paraId="468C7789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链接生活：如何启发学生从例文联系到自己的真实生活经验？</w:t>
            </w:r>
          </w:p>
          <w:p w14:paraId="44ECFEE2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鼓励创新：如何在模仿的基础上，鼓励学生写出自己的个性与童真童趣？</w:t>
            </w:r>
          </w:p>
          <w:p w14:paraId="200846D6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三、 集体研讨具体流程（“四步研讨法”）</w:t>
            </w:r>
          </w:p>
          <w:p w14:paraId="0B9CC2C4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第一步：独立预研 —— 带着思考入场</w:t>
            </w:r>
          </w:p>
          <w:p w14:paraId="3FECC1C5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会前任务：所有参与教师独立完成以下工作：</w:t>
            </w:r>
          </w:p>
          <w:p w14:paraId="21543416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1. 精读本次研讨的单元“习作要求”和“习作例文”。</w:t>
            </w:r>
          </w:p>
          <w:p w14:paraId="7622AEC4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2. 标记出例文中你认为最值得学生学习的2-3个亮点（一个好词、一个佳句、一个结构特点等）。</w:t>
            </w:r>
          </w:p>
          <w:p w14:paraId="09A55518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3. 思考一个教学难点：你认为学生在完成这篇习作时，最大的困难会是什么？</w:t>
            </w:r>
          </w:p>
          <w:p w14:paraId="182860EF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第二步：分组共析 —— 多角度碰撞</w:t>
            </w:r>
          </w:p>
          <w:p w14:paraId="7F46362C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任务：</w:t>
            </w:r>
          </w:p>
          <w:p w14:paraId="3256E191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一组：目标解码组</w:t>
            </w:r>
          </w:p>
          <w:p w14:paraId="30BDBF9A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任务：精准解析本单元习作目标，并用“学生能听懂的语言”表述出来。例如：“我们眼中的缤纷世界” → “学会用眼睛看、耳朵听、鼻子闻、心里想，把你发现的新鲜事、新变化写清楚。”</w:t>
            </w:r>
          </w:p>
          <w:p w14:paraId="66D72788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二组：例文探秘组</w:t>
            </w:r>
          </w:p>
          <w:p w14:paraId="56DB43D2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任务：深度剖析习作例文。完成一份“例文分析单”（见后文工具）。</w:t>
            </w:r>
          </w:p>
          <w:p w14:paraId="2A064BD2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三组：策略攻坚组</w:t>
            </w:r>
          </w:p>
          <w:p w14:paraId="247591AF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任务：针对预研中提出的“教学难点”， brainstorm 出3-5条具体、可行的教学策略或学生活动。</w:t>
            </w:r>
          </w:p>
          <w:p w14:paraId="14C39C38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第三步：集中研讨 —— 汇智与深化</w:t>
            </w:r>
          </w:p>
          <w:p w14:paraId="237177C8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小组汇报：各小组派代表分享研讨成果。</w:t>
            </w:r>
          </w:p>
          <w:p w14:paraId="186733ED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焦点辩论：围绕一个有争议的问题进行深入讨论。例如：</w:t>
            </w:r>
          </w:p>
          <w:p w14:paraId="3D1419D1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“对于起步阶段的学生，‘好词好句’的积累和‘我手写我心’的真情实感，哪个更重要？如何平衡？”</w:t>
            </w:r>
          </w:p>
          <w:p w14:paraId="22AA0E3A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“当学生的仿写出现千篇一律时，我们该如何引导？”</w:t>
            </w:r>
          </w:p>
          <w:p w14:paraId="7B1CDA5E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形成策略库：主持人将各组的有效策略汇总，形成本单元习作的“教学策略建议库”。</w:t>
            </w:r>
          </w:p>
          <w:p w14:paraId="0178B794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第四步：实践与生成 —— 从研讨到课堂</w:t>
            </w:r>
          </w:p>
          <w:p w14:paraId="003B22D6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设计核心任务：各组共同设计一个本单元习作指导的核心教学片段（约15分钟），或一份“学习单”。</w:t>
            </w:r>
          </w:p>
          <w:p w14:paraId="09B93D8A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资源共享：建立年级共享文件夹，将本次研讨的分析单、策略库、教学设计、课件等资源归档，供大家后续使用和优化。</w:t>
            </w:r>
          </w:p>
          <w:p w14:paraId="19C97374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四、 示例分析：以三上第五单元《我们眼中的缤纷世界》为例</w:t>
            </w:r>
          </w:p>
          <w:p w14:paraId="0A37F9B6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习作要求：仔细观察，把观察所得写下来。</w:t>
            </w:r>
          </w:p>
          <w:p w14:paraId="35BD5224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习作例文：《我爱故乡的杨梅》</w:t>
            </w:r>
          </w:p>
          <w:p w14:paraId="1D1AD5F8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“例文分析单”示例：</w:t>
            </w:r>
          </w:p>
          <w:p w14:paraId="7B00D0B1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分析维度 具体发现 教学应用建议</w:t>
            </w:r>
          </w:p>
          <w:p w14:paraId="1A29B20A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结构特点 1. 整体结构清晰：从杨梅树→杨梅果（外形、颜色、味道）。 2. 段落中心句明确：“杨梅圆圆的，和桂圆一样大小……” 搭建图表支架：设计一个“观察记录单”，分为“看（外形、颜色）”、“摸（感觉）”、“尝（味道）”等栏目，帮助学生理清写作顺序。</w:t>
            </w:r>
          </w:p>
          <w:p w14:paraId="1A7272AC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观察方法 1. 多感官：视觉（颜色变化）、触觉（平滑小刺）、味觉（又酸又甜）。 2. 抓变化：杨梅颜色从淡红到深红到几乎变黑。 3. 用比较：“和桂圆一样大小”。 设计观察活动：让学生带一个水果（或观察教室里的植物），现场进行多感官观察并记录。强调“它有什么变化？”</w:t>
            </w:r>
          </w:p>
          <w:p w14:paraId="653F0591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语言运用 1. 运用修辞：“平滑的小刺”比喻、“舌尖触到……就……”的夸张。 2. 精准用词：“贪婪地吮吸”、“细腻柔软”。 词语银行：与学生一起头脑风暴，建立“观察词汇银行”，如形容颜色的词、形容味道的词、形容触感的词等。</w:t>
            </w:r>
          </w:p>
          <w:p w14:paraId="505DDE60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情感表达 通过对杨梅细腻的描写，自然流露出对故乡杨梅的喜爱之情。 启发引导：提问：“你为什么要写这个东西？它哪里最让你喜欢/觉得有趣？” 引导学生写出自己的真实感受。</w:t>
            </w:r>
          </w:p>
          <w:p w14:paraId="0D72CABA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教学难点预判与对策：</w:t>
            </w:r>
          </w:p>
          <w:p w14:paraId="60DB816F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难点：学生观察不细，只会写“很甜、很漂亮”等概括性词语。</w:t>
            </w:r>
          </w:p>
          <w:p w14:paraId="778E3D3B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对策：</w:t>
            </w:r>
          </w:p>
          <w:p w14:paraId="3A1D9F57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1. “放大镜”游戏：选择一个物体（如一片叶子），让学生用“放大镜”（想象）看，必须说出三个细节。</w:t>
            </w:r>
          </w:p>
          <w:p w14:paraId="52A67E27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2. “五感”写作法：强制要求初稿中必须用到至少三种感官的描写。 两篇课文学完，单元习作“我们眼中的缤纷世界”就有了坚实的双基础。《搭船的鸟》教会学生如何写一个“瞬间”或一个“事物”，《金色的草地》则示范了如何写一个“过程”或一种“变化”。我们可以引导学生进行选择：</w:t>
            </w:r>
          </w:p>
          <w:p w14:paraId="61F19157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你想写像翠鸟那样的一个瞬间吗？ 那就学着聚焦、放大，用好形容词和动词。</w:t>
            </w:r>
          </w:p>
          <w:p w14:paraId="23A69C95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你想写像草地那样的一个变化吗？ 那就需要持续关注，记录不同时间点的不同样子，并试着探寻原因。</w:t>
            </w:r>
          </w:p>
          <w:p w14:paraId="282D979C">
            <w:pPr>
              <w:spacing w:line="400" w:lineRule="exact"/>
              <w:ind w:firstLine="720" w:firstLineChars="3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我同意。最终的习作评价标准也可以从这两篇课文中来。比如：</w:t>
            </w:r>
          </w:p>
          <w:p w14:paraId="2698466F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是否“留心观察”？ （有明确的观察对象和情境）</w:t>
            </w:r>
          </w:p>
          <w:p w14:paraId="7BC64F21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是否“细致描写”？ （能运用多种感官，抓住特征，如颜色、动作等）</w:t>
            </w:r>
          </w:p>
          <w:p w14:paraId="6AFAA267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是否有“自己的发现”？ （可以是像翠鸟捕鱼那样的新奇发现，也可以是像草地变色那样的规律发现）</w:t>
            </w:r>
          </w:p>
          <w:p w14:paraId="0709F4A7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是否融入了“真切的感受”？ （惊喜、好奇、热爱等）</w:t>
            </w:r>
          </w:p>
          <w:p w14:paraId="0F6BF169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四、研讨总结与共识：</w:t>
            </w:r>
          </w:p>
          <w:p w14:paraId="73864BA0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今天的研讨非常扎实。我们达成以下共识：</w:t>
            </w:r>
          </w:p>
          <w:p w14:paraId="3B38DC8A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1. 定位要准： 作为习作单元的精读课文，其核心功能是“写作范本”。教学重心必须从“内容理解”转向“写法揣摩”。</w:t>
            </w:r>
          </w:p>
          <w:p w14:paraId="3078A03B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2. 方法要明： 两篇课文提供了两种经典的观察范式——《搭船的鸟》是“定点特写式”观察，《金色的草地》是“长期追踪式”观察。教学中要通过对比，让学生清晰地感受到这两种路径的不同与妙处。</w:t>
            </w:r>
          </w:p>
          <w:p w14:paraId="04444BFB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3. 支架要实： 从课堂上的“小练笔”（仿写翠鸟外貌、仿写连续动作、写一个事物的变化）到最终的单元习作，要形成一个循序渐进的练习序列，让学生“有法可依，有话可写”。</w:t>
            </w:r>
          </w:p>
          <w:p w14:paraId="11F7788B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希望各位老师能将今天的研讨成果运用到实际教学中，引导我们的学生真正学会“留心观察”，并乐于、善于记录下他们眼中的“缤纷世界”。</w:t>
            </w:r>
          </w:p>
          <w:p w14:paraId="2415C7E3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66340481">
            <w:pPr>
              <w:spacing w:line="400" w:lineRule="exact"/>
              <w:ind w:firstLine="480" w:firstLineChars="200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bookmarkEnd w:id="0"/>
    </w:tbl>
    <w:p w14:paraId="2E2571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62FB4"/>
    <w:rsid w:val="0A6E1409"/>
    <w:rsid w:val="0BAC30CE"/>
    <w:rsid w:val="0E5C414B"/>
    <w:rsid w:val="1A67270E"/>
    <w:rsid w:val="1A8C743C"/>
    <w:rsid w:val="26F533DD"/>
    <w:rsid w:val="29E24C07"/>
    <w:rsid w:val="35062072"/>
    <w:rsid w:val="36B35A41"/>
    <w:rsid w:val="47E40D60"/>
    <w:rsid w:val="4B895879"/>
    <w:rsid w:val="51774F50"/>
    <w:rsid w:val="5EA3610E"/>
    <w:rsid w:val="64A53B56"/>
    <w:rsid w:val="66506631"/>
    <w:rsid w:val="6F6410A3"/>
    <w:rsid w:val="73037B20"/>
    <w:rsid w:val="772E419F"/>
    <w:rsid w:val="7B643625"/>
    <w:rsid w:val="7E6B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2100</Words>
  <Characters>2120</Characters>
  <Lines>0</Lines>
  <Paragraphs>0</Paragraphs>
  <TotalTime>6</TotalTime>
  <ScaleCrop>false</ScaleCrop>
  <LinksUpToDate>false</LinksUpToDate>
  <CharactersWithSpaces>2187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2025-02-25T02:39:00Z</dcterms:created>
  <dc:creator>www39</dc:creator>
  <cp:lastModifiedBy>WPS_1530336783</cp:lastModifiedBy>
  <dcterms:modified xsi:type="dcterms:W3CDTF">2025-12-01T01:15:45Z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eyJoZGlkIjoiNGYwYmJhNTgwMDkxMjdiZjhhMjg0NWZjZmViYzJkOWYiLCJ1c2VySWQiOiIzODI0NzY1MDMifQ==</vt:lpwstr>
  </property>
  <property fmtid="{D5CDD505-2E9C-101B-9397-08002B2CF9AE}" pid="4" name="ICV">
    <vt:lpwstr>38CFDB8E81454349922E73BC30023239_12</vt:lpwstr>
  </property>
</Properties>
</file>