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8EE41C">
      <w:pPr>
        <w:pStyle w:val="2"/>
        <w:jc w:val="center"/>
        <w:rPr>
          <w:rFonts w:hint="eastAsia" w:ascii="_x000B__x000C_" w:hAnsi="_x000B__x000C_"/>
          <w:b/>
          <w:sz w:val="48"/>
          <w:szCs w:val="48"/>
        </w:rPr>
      </w:pPr>
      <w:bookmarkStart w:id="0" w:name="OLE_LINK1"/>
      <w:r>
        <w:rPr>
          <w:rFonts w:hint="eastAsia" w:ascii="_x000B__x000C_" w:hAnsi="_x000B__x000C_"/>
          <w:b/>
          <w:sz w:val="48"/>
          <w:szCs w:val="48"/>
          <w:lang w:eastAsia="zh-CN"/>
        </w:rPr>
        <w:t>雪堰</w:t>
      </w:r>
      <w:r>
        <w:rPr>
          <w:rFonts w:hint="eastAsia" w:ascii="_x000B__x000C_" w:hAnsi="_x000B__x000C_"/>
          <w:b/>
          <w:sz w:val="48"/>
          <w:szCs w:val="48"/>
        </w:rPr>
        <w:t>中心小学集体备课记录表</w:t>
      </w:r>
    </w:p>
    <w:p w14:paraId="7FD96B4A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jc w:val="center"/>
        <w:textAlignment w:val="auto"/>
        <w:rPr>
          <w:rFonts w:hint="default" w:ascii="_x000B__x000C_" w:hAnsi="_x000B__x000C_"/>
          <w:b/>
          <w:sz w:val="48"/>
          <w:szCs w:val="4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lang w:eastAsia="zh-CN"/>
        </w:rPr>
        <w:t>学科：</w:t>
      </w:r>
      <w:r>
        <w:rPr>
          <w:rFonts w:hint="eastAsia" w:eastAsia="宋体" w:cs="宋体"/>
          <w:b w:val="0"/>
          <w:bCs/>
          <w:sz w:val="28"/>
          <w:szCs w:val="28"/>
          <w:lang w:val="en-US" w:eastAsia="zh-CN"/>
        </w:rPr>
        <w:t>语文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 xml:space="preserve">    202</w:t>
      </w:r>
      <w:r>
        <w:rPr>
          <w:rFonts w:hint="eastAsia" w:cs="宋体"/>
          <w:b w:val="0"/>
          <w:bCs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-202</w:t>
      </w:r>
      <w:r>
        <w:rPr>
          <w:rFonts w:hint="eastAsia" w:cs="宋体"/>
          <w:b w:val="0"/>
          <w:bCs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第</w:t>
      </w:r>
      <w:r>
        <w:rPr>
          <w:rFonts w:hint="eastAsia" w:cs="宋体"/>
          <w:b w:val="0"/>
          <w:bCs/>
          <w:sz w:val="28"/>
          <w:szCs w:val="28"/>
          <w:lang w:val="en-US" w:eastAsia="zh-CN"/>
        </w:rPr>
        <w:t>一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学期   第</w:t>
      </w:r>
      <w:r>
        <w:rPr>
          <w:rFonts w:hint="eastAsia" w:cs="宋体"/>
          <w:b w:val="0"/>
          <w:bCs/>
          <w:sz w:val="28"/>
          <w:szCs w:val="28"/>
          <w:lang w:val="en-US" w:eastAsia="zh-CN"/>
        </w:rPr>
        <w:t>十三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周</w:t>
      </w:r>
    </w:p>
    <w:tbl>
      <w:tblPr>
        <w:tblStyle w:val="3"/>
        <w:tblpPr w:leftFromText="180" w:rightFromText="180" w:vertAnchor="text" w:horzAnchor="margin" w:tblpXSpec="center" w:tblpY="176"/>
        <w:tblW w:w="92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1"/>
        <w:gridCol w:w="1927"/>
        <w:gridCol w:w="1267"/>
        <w:gridCol w:w="1606"/>
        <w:gridCol w:w="547"/>
        <w:gridCol w:w="1260"/>
        <w:gridCol w:w="1260"/>
      </w:tblGrid>
      <w:tr w14:paraId="6AF23C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1" w:type="dxa"/>
            <w:tcBorders>
              <w:right w:val="inset" w:color="auto" w:sz="6" w:space="0"/>
            </w:tcBorders>
            <w:noWrap w:val="0"/>
            <w:vAlign w:val="top"/>
          </w:tcPr>
          <w:p w14:paraId="7C5C521C">
            <w:pPr>
              <w:pStyle w:val="2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</w:rPr>
              <w:t>时  间</w:t>
            </w:r>
          </w:p>
        </w:tc>
        <w:tc>
          <w:tcPr>
            <w:tcW w:w="1927" w:type="dxa"/>
            <w:tcBorders>
              <w:left w:val="inset" w:color="auto" w:sz="6" w:space="0"/>
            </w:tcBorders>
            <w:noWrap w:val="0"/>
            <w:vAlign w:val="top"/>
          </w:tcPr>
          <w:p w14:paraId="0EC26DFE">
            <w:pPr>
              <w:pStyle w:val="2"/>
              <w:wordWrap w:val="0"/>
              <w:jc w:val="both"/>
              <w:rPr>
                <w:rFonts w:hint="default" w:ascii="_x000B__x000C_" w:hAnsi="_x000B__x000C_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_x000B__x000C_" w:hAnsi="_x000B__x000C_"/>
                <w:b w:val="0"/>
                <w:bCs/>
                <w:sz w:val="28"/>
                <w:szCs w:val="28"/>
                <w:lang w:val="en-US" w:eastAsia="zh-CN"/>
              </w:rPr>
              <w:t>2025、11、24</w:t>
            </w:r>
          </w:p>
        </w:tc>
        <w:tc>
          <w:tcPr>
            <w:tcW w:w="1267" w:type="dxa"/>
            <w:tcBorders>
              <w:left w:val="inset" w:color="auto" w:sz="6" w:space="0"/>
            </w:tcBorders>
            <w:noWrap w:val="0"/>
            <w:vAlign w:val="top"/>
          </w:tcPr>
          <w:p w14:paraId="3085A57F">
            <w:pPr>
              <w:pStyle w:val="2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</w:rPr>
              <w:t>地点</w:t>
            </w:r>
          </w:p>
        </w:tc>
        <w:tc>
          <w:tcPr>
            <w:tcW w:w="2153" w:type="dxa"/>
            <w:gridSpan w:val="2"/>
            <w:tcBorders>
              <w:left w:val="inset" w:color="auto" w:sz="6" w:space="0"/>
            </w:tcBorders>
            <w:noWrap w:val="0"/>
            <w:vAlign w:val="top"/>
          </w:tcPr>
          <w:p w14:paraId="16EF2808">
            <w:pPr>
              <w:pStyle w:val="2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</w:rPr>
              <w:t>办公室</w:t>
            </w:r>
          </w:p>
        </w:tc>
        <w:tc>
          <w:tcPr>
            <w:tcW w:w="1260" w:type="dxa"/>
            <w:tcBorders>
              <w:left w:val="inset" w:color="auto" w:sz="6" w:space="0"/>
            </w:tcBorders>
            <w:noWrap w:val="0"/>
            <w:vAlign w:val="top"/>
          </w:tcPr>
          <w:p w14:paraId="03477479">
            <w:pPr>
              <w:pStyle w:val="2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</w:rPr>
              <w:t>次数</w:t>
            </w:r>
          </w:p>
        </w:tc>
        <w:tc>
          <w:tcPr>
            <w:tcW w:w="1260" w:type="dxa"/>
            <w:tcBorders>
              <w:left w:val="inset" w:color="auto" w:sz="6" w:space="0"/>
            </w:tcBorders>
            <w:noWrap w:val="0"/>
            <w:vAlign w:val="top"/>
          </w:tcPr>
          <w:p w14:paraId="774E19E8">
            <w:pPr>
              <w:pStyle w:val="2"/>
              <w:wordWrap w:val="0"/>
              <w:jc w:val="center"/>
              <w:rPr>
                <w:rFonts w:hint="eastAsia" w:ascii="_x000B__x000C_" w:hAnsi="_x000B__x000C_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_x000B__x000C_" w:hAnsi="_x000B__x000C_"/>
                <w:b w:val="0"/>
                <w:bCs/>
                <w:sz w:val="28"/>
                <w:szCs w:val="28"/>
                <w:lang w:val="en-US" w:eastAsia="zh-CN"/>
              </w:rPr>
              <w:t>1</w:t>
            </w:r>
          </w:p>
        </w:tc>
      </w:tr>
      <w:tr w14:paraId="58782B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1" w:type="dxa"/>
            <w:tcBorders>
              <w:right w:val="inset" w:color="auto" w:sz="6" w:space="0"/>
            </w:tcBorders>
            <w:noWrap w:val="0"/>
            <w:vAlign w:val="top"/>
          </w:tcPr>
          <w:p w14:paraId="7B8F414B">
            <w:pPr>
              <w:pStyle w:val="2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</w:rPr>
              <w:t>主讲人</w:t>
            </w:r>
          </w:p>
        </w:tc>
        <w:tc>
          <w:tcPr>
            <w:tcW w:w="3194" w:type="dxa"/>
            <w:gridSpan w:val="2"/>
            <w:tcBorders>
              <w:left w:val="inset" w:color="auto" w:sz="6" w:space="0"/>
              <w:right w:val="single" w:color="auto" w:sz="4" w:space="0"/>
            </w:tcBorders>
            <w:noWrap w:val="0"/>
            <w:vAlign w:val="center"/>
          </w:tcPr>
          <w:p w14:paraId="7BA0F6B1">
            <w:pPr>
              <w:pStyle w:val="2"/>
              <w:ind w:firstLine="686" w:firstLineChars="245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_x000B__x000C_" w:hAnsi="_x000B__x000C_"/>
                <w:b w:val="0"/>
                <w:bCs/>
                <w:sz w:val="28"/>
                <w:szCs w:val="28"/>
                <w:lang w:val="en-US" w:eastAsia="zh-CN"/>
              </w:rPr>
              <w:t>董育兰</w:t>
            </w:r>
          </w:p>
        </w:tc>
        <w:tc>
          <w:tcPr>
            <w:tcW w:w="1606" w:type="dxa"/>
            <w:tcBorders>
              <w:left w:val="thinThickLargeGap" w:color="auto" w:sz="4" w:space="0"/>
              <w:bottom w:val="thinThickLargeGap" w:color="auto" w:sz="0" w:space="0"/>
              <w:right w:val="single" w:color="auto" w:sz="0" w:space="0"/>
            </w:tcBorders>
            <w:noWrap w:val="0"/>
            <w:vAlign w:val="top"/>
          </w:tcPr>
          <w:p w14:paraId="46AA8AAF">
            <w:pPr>
              <w:pStyle w:val="2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</w:rPr>
              <w:t>记录员</w:t>
            </w:r>
          </w:p>
        </w:tc>
        <w:tc>
          <w:tcPr>
            <w:tcW w:w="3067" w:type="dxa"/>
            <w:gridSpan w:val="3"/>
            <w:tcBorders>
              <w:top w:val="double" w:color="auto" w:sz="0" w:space="0"/>
              <w:left w:val="single" w:color="auto" w:sz="4" w:space="0"/>
              <w:bottom w:val="single" w:color="auto" w:sz="0" w:space="0"/>
              <w:right w:val="dashSmallGap" w:color="auto" w:sz="0" w:space="0"/>
            </w:tcBorders>
            <w:noWrap w:val="0"/>
            <w:vAlign w:val="center"/>
          </w:tcPr>
          <w:p w14:paraId="7B1DDB45">
            <w:pPr>
              <w:pStyle w:val="2"/>
              <w:wordWrap w:val="0"/>
              <w:jc w:val="center"/>
              <w:rPr>
                <w:rFonts w:hint="default" w:ascii="_x000B__x000C_" w:hAnsi="_x000B__x000C_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_x000B__x000C_" w:hAnsi="_x000B__x000C_"/>
                <w:b w:val="0"/>
                <w:bCs/>
                <w:sz w:val="28"/>
                <w:szCs w:val="28"/>
                <w:lang w:val="en-US" w:eastAsia="zh-CN"/>
              </w:rPr>
              <w:t>吴宸娴</w:t>
            </w:r>
          </w:p>
        </w:tc>
      </w:tr>
      <w:tr w14:paraId="2702CC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1" w:type="dxa"/>
            <w:tcBorders>
              <w:right w:val="inset" w:color="auto" w:sz="6" w:space="0"/>
            </w:tcBorders>
            <w:noWrap w:val="0"/>
            <w:vAlign w:val="top"/>
          </w:tcPr>
          <w:p w14:paraId="28697657">
            <w:pPr>
              <w:pStyle w:val="2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</w:rPr>
              <w:t>参加人员</w:t>
            </w:r>
          </w:p>
        </w:tc>
        <w:tc>
          <w:tcPr>
            <w:tcW w:w="7867" w:type="dxa"/>
            <w:gridSpan w:val="6"/>
            <w:tcBorders>
              <w:left w:val="inset" w:color="auto" w:sz="6" w:space="0"/>
            </w:tcBorders>
            <w:noWrap w:val="0"/>
            <w:vAlign w:val="top"/>
          </w:tcPr>
          <w:p w14:paraId="0BBBC2A5">
            <w:pPr>
              <w:pStyle w:val="2"/>
              <w:wordWrap w:val="0"/>
              <w:jc w:val="center"/>
              <w:rPr>
                <w:rFonts w:hint="default" w:ascii="_x000B__x000C_" w:hAnsi="_x000B__x000C_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钱洪波</w:t>
            </w:r>
            <w:r>
              <w:rPr>
                <w:rFonts w:hint="eastAsia" w:ascii="_x000B__x000C_" w:hAnsi="_x000B__x000C_"/>
                <w:b w:val="0"/>
                <w:bCs/>
                <w:sz w:val="28"/>
                <w:szCs w:val="28"/>
                <w:lang w:val="en-US" w:eastAsia="zh-CN"/>
              </w:rPr>
              <w:t xml:space="preserve">    陈玲霞   吴乔伊 郭静  杨晓  陆彩红 </w:t>
            </w:r>
          </w:p>
        </w:tc>
      </w:tr>
      <w:tr w14:paraId="3B8A5B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  <w:jc w:val="center"/>
        </w:trPr>
        <w:tc>
          <w:tcPr>
            <w:tcW w:w="1421" w:type="dxa"/>
            <w:tcBorders>
              <w:right w:val="inset" w:color="auto" w:sz="6" w:space="0"/>
            </w:tcBorders>
            <w:noWrap w:val="0"/>
            <w:vAlign w:val="top"/>
          </w:tcPr>
          <w:p w14:paraId="79857AE0">
            <w:pPr>
              <w:pStyle w:val="2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</w:rPr>
              <w:t>研讨主题</w:t>
            </w:r>
          </w:p>
        </w:tc>
        <w:tc>
          <w:tcPr>
            <w:tcW w:w="7867" w:type="dxa"/>
            <w:gridSpan w:val="6"/>
            <w:tcBorders>
              <w:left w:val="inset" w:color="auto" w:sz="6" w:space="0"/>
            </w:tcBorders>
            <w:noWrap w:val="0"/>
            <w:vAlign w:val="center"/>
          </w:tcPr>
          <w:p w14:paraId="23631283">
            <w:pPr>
              <w:pStyle w:val="2"/>
              <w:wordWrap w:val="0"/>
              <w:ind w:firstLine="720" w:firstLineChars="300"/>
              <w:jc w:val="both"/>
              <w:rPr>
                <w:rFonts w:hint="default" w:ascii="_x000B__x000C_" w:hAnsi="_x000B__x000C_" w:eastAsia="宋体"/>
                <w:b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聚焦“观察与发现”，探寻习作单元的精读教学策略</w:t>
            </w:r>
          </w:p>
        </w:tc>
      </w:tr>
      <w:tr w14:paraId="228852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7" w:hRule="atLeast"/>
          <w:jc w:val="center"/>
        </w:trPr>
        <w:tc>
          <w:tcPr>
            <w:tcW w:w="1421" w:type="dxa"/>
            <w:tcBorders>
              <w:right w:val="inset" w:color="auto" w:sz="6" w:space="0"/>
            </w:tcBorders>
            <w:noWrap w:val="0"/>
            <w:vAlign w:val="top"/>
          </w:tcPr>
          <w:p w14:paraId="035FB892">
            <w:pPr>
              <w:pStyle w:val="2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</w:p>
          <w:p w14:paraId="6BC83C9F">
            <w:pPr>
              <w:pStyle w:val="2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</w:rPr>
              <w:t>过</w:t>
            </w:r>
          </w:p>
          <w:p w14:paraId="086C1347">
            <w:pPr>
              <w:pStyle w:val="2"/>
              <w:wordWrap w:val="0"/>
              <w:rPr>
                <w:rFonts w:hint="eastAsia" w:ascii="_x000B__x000C_" w:hAnsi="_x000B__x000C_"/>
                <w:b/>
                <w:sz w:val="28"/>
                <w:szCs w:val="28"/>
              </w:rPr>
            </w:pPr>
          </w:p>
          <w:p w14:paraId="239925FA">
            <w:pPr>
              <w:pStyle w:val="2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</w:rPr>
              <w:t>程</w:t>
            </w:r>
          </w:p>
          <w:p w14:paraId="565DAFF1">
            <w:pPr>
              <w:pStyle w:val="2"/>
              <w:wordWrap w:val="0"/>
              <w:rPr>
                <w:rFonts w:hint="eastAsia" w:ascii="_x000B__x000C_" w:hAnsi="_x000B__x000C_"/>
                <w:b/>
                <w:sz w:val="28"/>
                <w:szCs w:val="28"/>
              </w:rPr>
            </w:pPr>
          </w:p>
          <w:p w14:paraId="34485C6E">
            <w:pPr>
              <w:pStyle w:val="2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</w:rPr>
              <w:t>记</w:t>
            </w:r>
          </w:p>
          <w:p w14:paraId="57B8B042">
            <w:pPr>
              <w:pStyle w:val="2"/>
              <w:wordWrap w:val="0"/>
              <w:rPr>
                <w:rFonts w:hint="eastAsia" w:ascii="_x000B__x000C_" w:hAnsi="_x000B__x000C_"/>
                <w:b/>
                <w:sz w:val="28"/>
                <w:szCs w:val="28"/>
              </w:rPr>
            </w:pPr>
          </w:p>
          <w:p w14:paraId="1C0B028E">
            <w:pPr>
              <w:pStyle w:val="2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</w:rPr>
              <w:t>录</w:t>
            </w:r>
          </w:p>
        </w:tc>
        <w:tc>
          <w:tcPr>
            <w:tcW w:w="7867" w:type="dxa"/>
            <w:gridSpan w:val="6"/>
            <w:tcBorders>
              <w:left w:val="inset" w:color="auto" w:sz="6" w:space="0"/>
            </w:tcBorders>
            <w:noWrap w:val="0"/>
            <w:vAlign w:val="top"/>
          </w:tcPr>
          <w:p w14:paraId="00ABBEFC">
            <w:pPr>
              <w:numPr>
                <w:numId w:val="0"/>
              </w:numPr>
              <w:spacing w:line="400" w:lineRule="exact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一、主持人开场：</w:t>
            </w:r>
          </w:p>
          <w:p w14:paraId="57C89FA6">
            <w:pPr>
              <w:numPr>
                <w:numId w:val="0"/>
              </w:numPr>
              <w:spacing w:line="400" w:lineRule="exact"/>
              <w:ind w:left="600" w:leftChars="0" w:firstLine="480" w:firstLineChars="200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各位老师，下午好。今天我们集中研讨三年级上册第五单元的两篇精读课文——《搭船的鸟》和《金色的草地》。本单元是习作单元，核心语文要素是“体会作者是怎样留心观察周围事物的”和“仔细观察，把观察所得写下来”。我们的研讨重点就是：这两篇课文是如何“示范”观察与表达的？我们应如何利用课文，为学生最终的单元习作搭建有效的支架？</w:t>
            </w:r>
          </w:p>
          <w:p w14:paraId="5B287378">
            <w:pPr>
              <w:spacing w:line="400" w:lineRule="exact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二、课文解读与对比分析</w:t>
            </w:r>
          </w:p>
          <w:p w14:paraId="4C17C6FB">
            <w:pPr>
              <w:spacing w:line="400" w:lineRule="exact"/>
              <w:ind w:firstLine="480" w:firstLineChars="200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1. 《搭船的鸟》——动态的、瞬间的细致观察</w:t>
            </w:r>
          </w:p>
          <w:p w14:paraId="0E610D90">
            <w:pPr>
              <w:spacing w:line="400" w:lineRule="exact"/>
              <w:ind w:firstLine="480" w:firstLineChars="200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《搭船的鸟》是一篇内容浅近但写法精巧的短文。作者的观察对象是一只“搭船”的翠鸟，这是一个动态的、偶然的事件。文章最精彩的部分在于对翠鸟外貌和捕鱼动作的集中刻画。</w:t>
            </w:r>
          </w:p>
          <w:p w14:paraId="65B8B16F">
            <w:pPr>
              <w:spacing w:line="400" w:lineRule="exact"/>
              <w:ind w:firstLine="480" w:firstLineChars="200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· 外貌观察： 作者用了“彩色”的小鸟，“翠绿”的羽毛，“蓝色”的翅膀，还“带着一些红色”。这种由整体到局部、抓住色彩特点的观察方法，非常直观，学生容易模仿。</w:t>
            </w:r>
          </w:p>
          <w:p w14:paraId="4E8C7EDA">
            <w:pPr>
              <w:spacing w:line="400" w:lineRule="exact"/>
              <w:ind w:firstLine="480" w:firstLineChars="200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· 动作观察： 作者用一连串的动词“冲、飞、衔、站、吞”精准地描绘了翠鸟捕鱼的瞬间。这教会学生，观察动态事物，要捕捉其关键动作，并像慢镜头一样分解、记录下来。</w:t>
            </w:r>
          </w:p>
          <w:p w14:paraId="123DC0C7">
            <w:pPr>
              <w:spacing w:line="400" w:lineRule="exact"/>
              <w:ind w:firstLine="480" w:firstLineChars="200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 xml:space="preserve"> 我补充一点。这篇课文的“情境”很特别——是在船上。这个移动的、安静的视角，使得观察变得自然而然。它启示我们和学生：观察不一定要正襟危坐，它可以在任何时间、任何地点发生，关键在于要有一颗“留心”的心。文中的“我”就是一个善于在平凡旅途中发现惊喜的“有心人”。</w:t>
            </w:r>
          </w:p>
          <w:p w14:paraId="03608D6A">
            <w:pPr>
              <w:spacing w:line="400" w:lineRule="exact"/>
              <w:ind w:firstLine="480" w:firstLineChars="200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</w:p>
          <w:p w14:paraId="17266EFE">
            <w:pPr>
              <w:spacing w:line="400" w:lineRule="exact"/>
              <w:ind w:firstLine="480" w:firstLineChars="200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2. 《金色的草地》——持续的、变化的深度发现</w:t>
            </w:r>
          </w:p>
          <w:p w14:paraId="76BF7B7F">
            <w:pPr>
              <w:spacing w:line="400" w:lineRule="exact"/>
              <w:ind w:firstLine="480" w:firstLineChars="200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 xml:space="preserve"> 如果说《搭船的鸟》是“点的深入”，那《金色的草地》就是“线的延展”。它展现的是一种长期的、有目的的观察，并最终发现了事物变化的规律。</w:t>
            </w:r>
          </w:p>
          <w:p w14:paraId="1AFF1F0B">
            <w:pPr>
              <w:spacing w:line="400" w:lineRule="exact"/>
              <w:ind w:firstLine="480" w:firstLineChars="200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· 观察的持续性： 作者不仅写了早晨、中午、傍晚草地颜色的变化，还追溯了这种变化从童年游戏开始，贯穿了“很早”“有一天”“第二天”等时间段。这是一种基于热爱的、持续的探索。</w:t>
            </w:r>
          </w:p>
          <w:p w14:paraId="582CC070">
            <w:pPr>
              <w:spacing w:line="400" w:lineRule="exact"/>
              <w:ind w:firstLine="480" w:firstLineChars="200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· 从观察到探究： 这篇文章的更高明之处在于，它不仅“观其象”，更“究其理”。作者通过细致的观察，发现了草地颜色变化与蒲公英花瓣开合之间的因果关系。这实现了从“观察”到“发现”的升华，赋予了观察以思考和科学的色彩。</w:t>
            </w:r>
          </w:p>
          <w:p w14:paraId="7C152369">
            <w:pPr>
              <w:spacing w:line="400" w:lineRule="exact"/>
              <w:ind w:firstLine="480" w:firstLineChars="200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 xml:space="preserve"> 两篇课文在情感基调上也各有特色。《搭船的鸟》充满的是偶遇的惊喜与好奇，情感是外放的；而《金色的草地》则融入了对童年、对家乡、对自然规律的深厚感情，情感是内敛且深沉的。这为我们指导学生如何在观察中融入感情提供了不同的范本。</w:t>
            </w:r>
          </w:p>
          <w:p w14:paraId="0455684E">
            <w:pPr>
              <w:spacing w:line="400" w:lineRule="exact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三、教学策略研讨</w:t>
            </w:r>
          </w:p>
          <w:p w14:paraId="39C48223">
            <w:pPr>
              <w:spacing w:line="400" w:lineRule="exact"/>
              <w:ind w:firstLine="480" w:firstLineChars="200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1. 如何利用课文教“观察”？</w:t>
            </w:r>
          </w:p>
          <w:p w14:paraId="0C51111D">
            <w:pPr>
              <w:spacing w:line="400" w:lineRule="exact"/>
              <w:ind w:firstLine="480" w:firstLineChars="200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 xml:space="preserve"> 两位老师的分析很到位。那么，在具体的教学中，我们如何将课文中的“观察方法”转化为学生的“学习活动”呢？</w:t>
            </w:r>
          </w:p>
          <w:p w14:paraId="74B36998">
            <w:pPr>
              <w:spacing w:line="400" w:lineRule="exact"/>
              <w:ind w:firstLine="480" w:firstLineChars="200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对于《搭船的鸟》，我会设计一个“聚焦特写镜头”的活动。</w:t>
            </w:r>
          </w:p>
          <w:p w14:paraId="1F46C618">
            <w:pPr>
              <w:spacing w:line="400" w:lineRule="exact"/>
              <w:ind w:firstLine="480" w:firstLineChars="200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· 活动一：为翠鸟制作“身份证”。 让学生从文中提取关键信息，填写翠鸟的“外貌特征卡”，学习抓住事物最鲜明的特征。</w:t>
            </w:r>
          </w:p>
          <w:p w14:paraId="4B5D691A">
            <w:pPr>
              <w:spacing w:line="400" w:lineRule="exact"/>
              <w:ind w:firstLine="480" w:firstLineChars="200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· 活动二：动词串烧。 将翠鸟捕鱼的动词摘出来，让学生边做动作边复述过程，体会动词的连贯性与准确性。并鼓励学生用一连串动词写写小猫扑蝴蝶、同学打篮球等场景。</w:t>
            </w:r>
          </w:p>
          <w:p w14:paraId="6BEC6B69">
            <w:pPr>
              <w:spacing w:line="400" w:lineRule="exact"/>
              <w:ind w:firstLine="480" w:firstLineChars="200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刘老师： 对于《金色的草地》，我建议采用“我是小小科学家”的探究模式。</w:t>
            </w:r>
          </w:p>
          <w:p w14:paraId="540FEF76">
            <w:pPr>
              <w:spacing w:line="400" w:lineRule="exact"/>
              <w:ind w:firstLine="480" w:firstLineChars="200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· 活动一：绘制“草地颜色变化时间表”。 让学生梳理不同时间点草地的颜色和状态，直观感受“变化”。</w:t>
            </w:r>
          </w:p>
          <w:p w14:paraId="5B382713">
            <w:pPr>
              <w:spacing w:line="400" w:lineRule="exact"/>
              <w:ind w:firstLine="480" w:firstLineChars="200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· 活动二：探寻“变色之谜”。 引导学生画出蒲公英花瓣开合的示意图，并用自己的话解释草地变色的原因。这个过程就是在模拟“观察-提问-探究-发现”的科学思维路径。</w:t>
            </w:r>
          </w:p>
          <w:p w14:paraId="1949B302">
            <w:pPr>
              <w:spacing w:line="400" w:lineRule="exact"/>
              <w:ind w:firstLine="480" w:firstLineChars="200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2. 如何为单元习作搭建支架？</w:t>
            </w:r>
          </w:p>
          <w:p w14:paraId="134BBE71">
            <w:pPr>
              <w:spacing w:line="400" w:lineRule="exact"/>
              <w:ind w:firstLine="480" w:firstLineChars="200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</w:p>
          <w:p w14:paraId="52A67E27">
            <w:pPr>
              <w:spacing w:line="400" w:lineRule="exact"/>
              <w:ind w:firstLine="480" w:firstLineChars="200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 xml:space="preserve"> 两篇课文学完，单元习作“我们眼中的缤纷世界”就有了坚实的双基础。《搭船的鸟》教会学生如何写一个“瞬间”或一个“事物”，《金色的草地》则示范了如何写一个“过程”或一种“变化”。我们可以引导学生进行选择：</w:t>
            </w:r>
          </w:p>
          <w:p w14:paraId="61F19157">
            <w:pPr>
              <w:spacing w:line="400" w:lineRule="exact"/>
              <w:ind w:firstLine="480" w:firstLineChars="200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· 你想写像翠鸟那样的一个瞬间吗？ 那就学着聚焦、放大，用好形容词和动词。</w:t>
            </w:r>
          </w:p>
          <w:p w14:paraId="23A69C95">
            <w:pPr>
              <w:spacing w:line="400" w:lineRule="exact"/>
              <w:ind w:firstLine="480" w:firstLineChars="200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· 你想写像草地那样的一个变化吗？ 那就需要持续关注，记录不同时间点的不同样子，并试着探寻原因。</w:t>
            </w:r>
          </w:p>
          <w:p w14:paraId="282D979C">
            <w:pPr>
              <w:spacing w:line="400" w:lineRule="exact"/>
              <w:ind w:firstLine="720" w:firstLineChars="300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 xml:space="preserve"> 我同意。最终的习作评价标准也可以从这两篇课文中来。比如：</w:t>
            </w:r>
          </w:p>
          <w:p w14:paraId="2698466F">
            <w:pPr>
              <w:spacing w:line="400" w:lineRule="exact"/>
              <w:ind w:firstLine="480" w:firstLineChars="200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· 是否“留心观察”？ （有明确的观察对象和情境）</w:t>
            </w:r>
          </w:p>
          <w:p w14:paraId="7BC64F21">
            <w:pPr>
              <w:spacing w:line="400" w:lineRule="exact"/>
              <w:ind w:firstLine="480" w:firstLineChars="200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· 是否“细致描写”？ （能运用多种感官，抓住特征，如颜色、动作等）</w:t>
            </w:r>
          </w:p>
          <w:p w14:paraId="6AFAA267">
            <w:pPr>
              <w:spacing w:line="400" w:lineRule="exact"/>
              <w:ind w:firstLine="480" w:firstLineChars="200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· 是否有“自己的发现”？ （可以是像翠鸟捕鱼那样的新奇发现，也可以是像草地变色那样的规律发现）</w:t>
            </w:r>
          </w:p>
          <w:p w14:paraId="0709F4A7">
            <w:pPr>
              <w:spacing w:line="400" w:lineRule="exact"/>
              <w:ind w:firstLine="480" w:firstLineChars="200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· 是否融入了“真切的感受”？ （惊喜、好奇、热爱等）</w:t>
            </w:r>
          </w:p>
          <w:p w14:paraId="0F6BF169">
            <w:pPr>
              <w:spacing w:line="400" w:lineRule="exact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四、研讨总结与共识</w:t>
            </w:r>
            <w:bookmarkStart w:id="1" w:name="_GoBack"/>
            <w:bookmarkEnd w:id="1"/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：</w:t>
            </w:r>
          </w:p>
          <w:p w14:paraId="73864BA0">
            <w:pPr>
              <w:spacing w:line="400" w:lineRule="exact"/>
              <w:ind w:firstLine="480" w:firstLineChars="200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今天的研讨非常扎实。我们达成以下共识：</w:t>
            </w:r>
          </w:p>
          <w:p w14:paraId="3B38DC8A">
            <w:pPr>
              <w:spacing w:line="400" w:lineRule="exact"/>
              <w:ind w:firstLine="480" w:firstLineChars="200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1. 定位要准： 作为习作单元的精读课文，其核心功能是“写作范本”。教学重心必须从“内容理解”转向“写法揣摩”。</w:t>
            </w:r>
          </w:p>
          <w:p w14:paraId="3078A03B">
            <w:pPr>
              <w:spacing w:line="400" w:lineRule="exact"/>
              <w:ind w:firstLine="480" w:firstLineChars="200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2. 方法要明： 两篇课文提供了两种经典的观察范式——《搭船的鸟》是“定点特写式”观察，《金色的草地》是“长期追踪式”观察。教学中要通过对比，让学生清晰地感受到这两种路径的不同与妙处。</w:t>
            </w:r>
          </w:p>
          <w:p w14:paraId="04444BFB">
            <w:pPr>
              <w:spacing w:line="400" w:lineRule="exact"/>
              <w:ind w:firstLine="480" w:firstLineChars="200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3. 支架要实： 从课堂上的“小练笔”（仿写翠鸟外貌、仿写连续动作、写一个事物的变化）到最终的单元习作，要形成一个循序渐进的练习序列，让学生“有法可依，有话可写”。</w:t>
            </w:r>
          </w:p>
          <w:p w14:paraId="11F7788B">
            <w:pPr>
              <w:spacing w:line="400" w:lineRule="exact"/>
              <w:ind w:firstLine="480" w:firstLineChars="200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希望各位老师能将今天的研讨成果运用到实际教学中，引导我们的学生真正学会“留心观察”，并乐于、善于记录下他们眼中的“缤纷世界”。</w:t>
            </w:r>
          </w:p>
          <w:p w14:paraId="2415C7E3">
            <w:pPr>
              <w:spacing w:line="400" w:lineRule="exact"/>
              <w:ind w:firstLine="480" w:firstLineChars="200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</w:p>
          <w:p w14:paraId="66340481">
            <w:pPr>
              <w:spacing w:line="400" w:lineRule="exact"/>
              <w:ind w:firstLine="480" w:firstLineChars="200"/>
              <w:rPr>
                <w:rFonts w:hint="default"/>
                <w:b w:val="0"/>
                <w:bCs/>
                <w:sz w:val="24"/>
                <w:szCs w:val="24"/>
                <w:lang w:val="en-US" w:eastAsia="zh-CN"/>
              </w:rPr>
            </w:pPr>
          </w:p>
        </w:tc>
      </w:tr>
      <w:bookmarkEnd w:id="0"/>
    </w:tbl>
    <w:p w14:paraId="2E25716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_x000B__x000C_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862FB4"/>
    <w:rsid w:val="0A6E1409"/>
    <w:rsid w:val="0BAC30CE"/>
    <w:rsid w:val="0E5C414B"/>
    <w:rsid w:val="1A67270E"/>
    <w:rsid w:val="1A8C743C"/>
    <w:rsid w:val="26F533DD"/>
    <w:rsid w:val="29E24C07"/>
    <w:rsid w:val="35062072"/>
    <w:rsid w:val="36B35A41"/>
    <w:rsid w:val="47E40D60"/>
    <w:rsid w:val="4B895879"/>
    <w:rsid w:val="51774F50"/>
    <w:rsid w:val="5EA3610E"/>
    <w:rsid w:val="64A53B56"/>
    <w:rsid w:val="66506631"/>
    <w:rsid w:val="6F6410A3"/>
    <w:rsid w:val="73037B20"/>
    <w:rsid w:val="7B643625"/>
    <w:rsid w:val="7E6B7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748</Words>
  <Characters>778</Characters>
  <Lines>0</Lines>
  <Paragraphs>0</Paragraphs>
  <TotalTime>9</TotalTime>
  <ScaleCrop>false</ScaleCrop>
  <LinksUpToDate>false</LinksUpToDate>
  <CharactersWithSpaces>847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2025-02-25T02:39:00Z</dcterms:created>
  <dc:creator>www39</dc:creator>
  <cp:lastModifiedBy>WPS_1530336783</cp:lastModifiedBy>
  <dcterms:modified xsi:type="dcterms:W3CDTF">2025-11-24T00:52:26Z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eyJoZGlkIjoiNGYwYmJhNTgwMDkxMjdiZjhhMjg0NWZjZmViYzJkOWYifQ==</vt:lpwstr>
  </property>
  <property fmtid="{D5CDD505-2E9C-101B-9397-08002B2CF9AE}" pid="4" name="ICV">
    <vt:lpwstr>38CFDB8E81454349922E73BC30023239_12</vt:lpwstr>
  </property>
</Properties>
</file>