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11.4周二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坚果、玉米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高粱米饭、虫草花香菇鸡腿、清炒茼蒿、翡翠银鱼汤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五彩面疙瘩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桔子</w:t>
      </w:r>
      <w:bookmarkStart w:id="3" w:name="_GoBack"/>
      <w:bookmarkEnd w:id="3"/>
      <w:r>
        <w:rPr>
          <w:rFonts w:hint="eastAsia" w:ascii="宋体" w:hAnsi="宋体" w:eastAsia="宋体" w:cs="宋体"/>
          <w:lang w:val="en-US" w:eastAsia="zh-CN"/>
        </w:rPr>
        <w:t>、樱桃番茄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288285C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5BD1E753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2FF8538"/>
    <w:rsid w:val="241D54A5"/>
    <w:rsid w:val="24D538BE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383</Characters>
  <Lines>329</Lines>
  <Paragraphs>324</Paragraphs>
  <TotalTime>4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2025-11-13T05:22:31Z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eyJoZGlkIjoiNGFhMGY4YTczODJjMDUwMWI3MmNlZDE1YzBjYTlhMWMiLCJ1c2VySWQiOiI5Mzc4NDQwNzEifQ==</vt:lpwstr>
  </property>
</Properties>
</file>