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 w:line="660" w:lineRule="exact"/>
        <w:ind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 xml:space="preserve">关于公布20</w:t>
      </w:r>
      <w:r>
        <w:rPr>
          <w:rFonts w:ascii="方正小标宋简体" w:hAnsi="Arial" w:eastAsia="方正小标宋简体" w:cs="Arial"/>
          <w:color w:val="000000"/>
          <w:sz w:val="44"/>
          <w:szCs w:val="44"/>
        </w:rPr>
        <w:t xml:space="preserve">2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val="en-US" w:eastAsia="zh-CN"/>
        </w:rPr>
        <w:t xml:space="preserve">4</w:t>
      </w:r>
      <w:r>
        <w:rPr>
          <w:rFonts w:ascii="方正小标宋简体" w:hAnsi="Arial" w:eastAsia="方正小标宋简体" w:cs="Arial"/>
          <w:color w:val="000000"/>
          <w:sz w:val="44"/>
          <w:szCs w:val="44"/>
        </w:rPr>
        <w:t xml:space="preserve">-202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val="en-US" w:eastAsia="zh-CN"/>
        </w:rPr>
        <w:t xml:space="preserve">5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 xml:space="preserve">学年度武进区</w:t>
      </w:r>
      <w:r>
        <w:rPr>
          <w:rFonts w:ascii="方正小标宋简体" w:hAnsi="Arial" w:eastAsia="方正小标宋简体" w:cs="Arial"/>
          <w:color w:val="000000"/>
          <w:sz w:val="44"/>
          <w:szCs w:val="44"/>
        </w:rPr>
      </w:r>
    </w:p>
    <w:p>
      <w:pPr>
        <w:widowControl w:val="true"/>
        <w:pBdr/>
        <w:spacing w:line="660" w:lineRule="exact"/>
        <w:ind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 xml:space="preserve">中小学办学水平结果的通知</w:t>
      </w:r>
      <w:r>
        <w:rPr>
          <w:rFonts w:ascii="方正小标宋简体" w:hAnsi="Arial" w:eastAsia="方正小标宋简体" w:cs="Arial"/>
          <w:color w:val="000000"/>
          <w:sz w:val="44"/>
          <w:szCs w:val="44"/>
        </w:rPr>
      </w:r>
    </w:p>
    <w:p>
      <w:pPr>
        <w:suppressLineNumbers w:val="false"/>
        <w:pBdr/>
        <w:spacing w:after="0" w:before="0" w:line="510" w:lineRule="exact"/>
        <w:ind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r>
    </w:p>
    <w:p>
      <w:pPr>
        <w:suppressLineNumbers w:val="false"/>
        <w:pBdr/>
        <w:spacing w:after="0" w:before="0" w:line="510" w:lineRule="exact"/>
        <w:ind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各中小学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及相关学校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：</w:t>
      </w:r>
      <w:r>
        <w:rPr>
          <w:rFonts w:ascii="仿宋_GB2312" w:hAnsi="Times New Roman" w:eastAsia="仿宋_GB2312" w:cs="Times New Roman"/>
          <w:sz w:val="32"/>
          <w:szCs w:val="32"/>
        </w:rPr>
      </w:r>
    </w:p>
    <w:p>
      <w:pPr>
        <w:suppressLineNumbers w:val="false"/>
        <w:pBdr/>
        <w:spacing w:after="0" w:before="0" w:line="510" w:lineRule="exact"/>
        <w:ind w:firstLine="64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为进一步规范武进区中小学办学行为，更好地促进全区学校主动发展和可持续发展，区教育局组织</w:t>
      </w:r>
      <w:bookmarkStart w:id="0" w:name="_GoBack"/>
      <w:r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开展了武进区中小学办学水平评估工作。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 xml:space="preserve">根据学校所处地域、办学条件等，将全区初中、小学设A、B、C三类，分类评估。现将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2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  <w:lang w:val="en-US" w:eastAsia="zh-CN"/>
        </w:rPr>
        <w:t xml:space="preserve">4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</w:rPr>
        <w:t xml:space="preserve">-202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  <w:lang w:val="en-US" w:eastAsia="zh-CN"/>
        </w:rPr>
        <w:t xml:space="preserve">5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 xml:space="preserve">学年度武进区中小学办学水平结果予以公布：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</w:r>
    </w:p>
    <w:p>
      <w:pPr>
        <w:pBdr/>
        <w:spacing w:line="5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</w:r>
      <w:r>
        <w:rPr>
          <w:rFonts w:hint="eastAsia" w:ascii="仿宋_GB2312" w:eastAsia="仿宋_GB2312"/>
          <w:sz w:val="32"/>
          <w:szCs w:val="32"/>
          <w:lang w:eastAsia="zh-CN"/>
        </w:rPr>
      </w:r>
    </w:p>
    <w:tbl>
      <w:tblPr>
        <w:tblStyle w:val="667"/>
        <w:tblInd w:w="96" w:type="dxa"/>
        <w:tblW w:w="8426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055"/>
        <w:gridCol w:w="572"/>
        <w:gridCol w:w="2138"/>
        <w:gridCol w:w="448"/>
        <w:gridCol w:w="1208"/>
      </w:tblGrid>
      <w:tr>
        <w:trPr>
          <w:trHeight w:val="480"/>
        </w:trPr>
        <w:tc>
          <w:tcPr>
            <w:gridSpan w:val="6"/>
            <w:shd w:val="clear" w:color="auto" w:fill="auto"/>
            <w:tcBorders/>
            <w:tcW w:w="8426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bidi="ar"/>
              </w:rPr>
              <w:t xml:space="preserve"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bidi="ar"/>
              </w:rPr>
              <w:t xml:space="preserve">-202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  <w:t xml:space="preserve">5</w:t>
            </w:r>
            <w:r>
              <w:rPr>
                <w:rStyle w:val="670"/>
                <w:lang w:bidi="ar"/>
              </w:rPr>
              <w:t xml:space="preserve">年度办学水平结果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/>
            <w:tcW w:w="406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 xml:space="preserve">小学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271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 xml:space="preserve">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656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 xml:space="preserve">高中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 xml:space="preserve">一等奖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r>
          </w:p>
        </w:tc>
        <w:tc>
          <w:tcPr>
            <w:gridSpan w:val="5"/>
            <w:shd w:val="clear" w:color="auto" w:fill="auto"/>
            <w:tcBorders/>
            <w:tcW w:w="7421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星河实验小学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湖塘实验中学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省前中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湖塘桥第二实验小学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前黄实验学校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省武高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武进区实验小学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星辰实验学校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省前中国际分校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星韵学校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礼河实验学校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湖塘桥第三实验小学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马杭初级中学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湖塘桥实验小学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牛塘实验学校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7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武进区实验小学分校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7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潘家初级中学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8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牛塘中心小学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8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运村实验学校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9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星河实验小学分校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采菱小学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政平小学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东安实验学校（小学部）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坂上小学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 xml:space="preserve">二等奖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r>
          </w:p>
        </w:tc>
        <w:tc>
          <w:tcPr>
            <w:gridSpan w:val="5"/>
            <w:shd w:val="clear" w:color="auto" w:fill="auto"/>
            <w:tcBorders/>
            <w:tcW w:w="74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李公朴小学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人民路初级中学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湟里高中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</w:tr>
      <w:tr>
        <w:trPr>
          <w:trHeight w:val="287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刘海粟小学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湖塘桥初级中学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礼嘉高中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清英外国语学校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卢家巷实验学校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前黄实验高中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常州大学附属小学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洛阳初级中学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洛阳高中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礼河实验学校（小学部）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嘉泽初级中学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湟里中心小学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湟里初级中学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44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120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7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鸣凰中心小学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7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2138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雪堰初级中学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/>
            <w:tcW w:w="165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/>
            <w:tcW w:w="406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 xml:space="preserve">小学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bidi="ar"/>
              </w:rPr>
            </w:r>
          </w:p>
        </w:tc>
        <w:tc>
          <w:tcPr>
            <w:gridSpan w:val="4"/>
            <w:shd w:val="clear" w:color="auto" w:fill="auto"/>
            <w:tcBorders/>
            <w:tcW w:w="4366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 xml:space="preserve">初中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bidi="ar"/>
              </w:rPr>
            </w:r>
          </w:p>
        </w:tc>
      </w:tr>
      <w:tr>
        <w:trPr>
          <w:trHeight w:val="378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 xml:space="preserve">二等奖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r>
          </w:p>
        </w:tc>
        <w:tc>
          <w:tcPr>
            <w:gridSpan w:val="5"/>
            <w:shd w:val="clear" w:color="auto" w:fill="auto"/>
            <w:tcBorders/>
            <w:tcW w:w="742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8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雪堰中心小学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8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前黄初级中学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9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马杭中心小学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9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寨桥初级中学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南夏墅中心小学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庙桥初级中学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潘家小学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坂上初级中学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运村实验学校（小学部）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夏溪小学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漕桥小学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 xml:space="preserve">三等奖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人民路小学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淹城初级中学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星辰实验学校（小学部）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礼嘉实验学校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礼嘉中心小学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鸣凰中学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前黄中心小学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南夏墅初级中学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城东小学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东安实验学校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49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卢家巷实验学校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（小学部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 w:bidi="ar"/>
              </w:rPr>
              <w:t xml:space="preserve">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r>
            <w:r/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夏溪初级中学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7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洛阳中心小学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7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漕桥初级中学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8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嘉泽中心小学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 w:bidi="ar"/>
              </w:rPr>
              <w:t xml:space="preserve">8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成章初级中学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9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戴溪小学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庙桥小学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南宅实验学校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村前小学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寨桥小学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厚余小学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/>
            <w:tcW w:w="100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15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305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成章小学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</w:r>
          </w:p>
        </w:tc>
        <w:tc>
          <w:tcPr>
            <w:gridSpan w:val="3"/>
            <w:shd w:val="clear" w:color="auto" w:fill="auto"/>
            <w:tcBorders/>
            <w:tcW w:w="379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r>
          </w:p>
        </w:tc>
      </w:tr>
    </w:tbl>
    <w:p>
      <w:pPr>
        <w:pBdr/>
        <w:spacing w:line="5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</w:r>
      <w:r>
        <w:rPr>
          <w:rFonts w:hint="eastAsia" w:ascii="仿宋_GB2312" w:eastAsia="仿宋_GB2312"/>
          <w:sz w:val="32"/>
          <w:szCs w:val="32"/>
          <w:lang w:eastAsia="zh-CN"/>
        </w:rPr>
      </w:r>
    </w:p>
    <w:p>
      <w:pPr>
        <w:suppressLineNumbers w:val="false"/>
        <w:pBdr/>
        <w:spacing w:after="0" w:before="0" w:line="510" w:lineRule="exact"/>
        <w:ind w:firstLine="64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</w:r>
    </w:p>
    <w:p>
      <w:pPr>
        <w:widowControl w:val="true"/>
        <w:suppressLineNumbers w:val="false"/>
        <w:pBdr/>
        <w:spacing w:after="0" w:before="0" w:line="510" w:lineRule="exact"/>
        <w:ind/>
        <w:jc w:val="right"/>
        <w:rPr>
          <w:rFonts w:hint="eastAsia" w:ascii="仿宋_GB2312" w:hAnsi="仿宋_GB2312" w:cs="仿宋_GB2312"/>
          <w:color w:val="000000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</w:r>
    </w:p>
    <w:p>
      <w:pPr>
        <w:widowControl w:val="true"/>
        <w:suppressLineNumbers w:val="false"/>
        <w:pBdr/>
        <w:spacing w:after="0" w:before="0" w:line="510" w:lineRule="exact"/>
        <w:ind/>
        <w:jc w:val="right"/>
        <w:rPr>
          <w:rFonts w:hint="eastAsia" w:ascii="仿宋_GB2312" w:hAnsi="仿宋_GB2312" w:cs="仿宋_GB2312"/>
          <w:color w:val="000000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 xml:space="preserve">常州市武进区教育局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</w:r>
    </w:p>
    <w:p>
      <w:pPr>
        <w:widowControl w:val="true"/>
        <w:suppressLineNumbers w:val="false"/>
        <w:pBdr/>
        <w:spacing w:after="0" w:before="0" w:line="510" w:lineRule="exact"/>
        <w:ind w:right="300"/>
        <w:jc w:val="right"/>
        <w:rPr>
          <w:rFonts w:hint="eastAsia" w:ascii="仿宋_GB2312" w:hAnsi="仿宋_GB2312" w:cs="仿宋_GB2312"/>
          <w:color w:val="000000"/>
          <w:spacing w:val="-10"/>
          <w:sz w:val="32"/>
          <w:szCs w:val="32"/>
        </w:rPr>
      </w:pPr>
      <w:r>
        <w:rPr>
          <w:rFonts w:hint="eastAsia" w:ascii="Times New Roman" w:hAnsi="Times New Roman" w:eastAsia="Times New Roman" w:cs="Times New Roman"/>
          <w:color w:val="000000"/>
          <w:spacing w:val="-10"/>
          <w:sz w:val="32"/>
          <w:szCs w:val="32"/>
        </w:rPr>
        <w:t xml:space="preserve">202</w:t>
      </w:r>
      <w:r>
        <w:rPr>
          <w:rFonts w:hint="eastAsia" w:ascii="Times New Roman" w:hAnsi="Times New Roman" w:eastAsia="Times New Roman" w:cs="Times New Roman"/>
          <w:color w:val="000000"/>
          <w:spacing w:val="-10"/>
          <w:sz w:val="32"/>
          <w:szCs w:val="32"/>
          <w:lang w:val="en-US" w:eastAsia="zh-CN"/>
        </w:rPr>
        <w:t xml:space="preserve">5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 xml:space="preserve">年</w:t>
      </w:r>
      <w:r>
        <w:rPr>
          <w:rFonts w:hint="eastAsia" w:ascii="Times New Roman" w:hAnsi="Times New Roman" w:eastAsia="Times New Roman" w:cs="Times New Roman"/>
          <w:color w:val="000000"/>
          <w:spacing w:val="-10"/>
          <w:sz w:val="32"/>
          <w:szCs w:val="32"/>
        </w:rPr>
        <w:t xml:space="preserve">1</w:t>
      </w:r>
      <w:r>
        <w:rPr>
          <w:rFonts w:hint="eastAsia" w:ascii="Times New Roman" w:hAnsi="Times New Roman" w:eastAsia="Times New Roman" w:cs="Times New Roman"/>
          <w:color w:val="000000"/>
          <w:spacing w:val="-10"/>
          <w:sz w:val="32"/>
          <w:szCs w:val="32"/>
          <w:lang w:val="en-US" w:eastAsia="zh-CN"/>
        </w:rPr>
        <w:t xml:space="preserve">1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 xml:space="preserve">月</w:t>
      </w:r>
      <w:r>
        <w:rPr>
          <w:rFonts w:hint="eastAsia" w:ascii="Times New Roman" w:hAnsi="Times New Roman" w:eastAsia="Times New Roman" w:cs="Times New Roman"/>
          <w:color w:val="000000"/>
          <w:spacing w:val="-10"/>
          <w:sz w:val="32"/>
          <w:szCs w:val="32"/>
          <w:lang w:val="en-US" w:eastAsia="zh-CN"/>
        </w:rPr>
        <w:t xml:space="preserve">6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 xml:space="preserve">日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</w:r>
    </w:p>
    <w:p>
      <w:pPr>
        <w:suppressLineNumbers w:val="false"/>
        <w:pBdr/>
        <w:spacing w:after="0" w:before="0" w:line="510" w:lineRule="exact"/>
        <w:ind/>
        <w:rPr/>
      </w:pPr>
      <w:r/>
      <w:r/>
    </w:p>
    <w:sectPr>
      <w:footnotePr/>
      <w:endnotePr/>
      <w:type w:val="nextPage"/>
      <w:pgSz w:h="16838" w:orient="portrait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3000509000000000000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bbf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bbf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c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6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6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ff2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ee2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ee2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2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0e1a8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0e1a8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3f4f1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ce6e0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ce6e0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a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d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d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25db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25db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25db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25db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6d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6d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e6d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6d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25db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3f4" w:themeFill="accent1" w:themeFillTint="34"/>
        <w:tcBorders/>
      </w:tcPr>
    </w:tblStylePr>
    <w:tblStylePr w:type="band2Horz">
      <w:rPr>
        <w:rFonts w:ascii="Arial" w:hAnsi="Arial"/>
        <w:color w:val="325db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25db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25db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25db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25db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2Horz">
      <w:rPr>
        <w:rFonts w:ascii="Arial" w:hAnsi="Arial"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c62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e6d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2Horz">
      <w:rPr>
        <w:rFonts w:ascii="Arial" w:hAnsi="Arial"/>
        <w:color w:val="8e6d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6d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e6d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e6d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e6d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2Horz">
      <w:rPr>
        <w:rFonts w:ascii="Arial" w:hAnsi="Arial"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9a3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2Horz">
      <w:rPr>
        <w:rFonts w:ascii="Arial" w:hAnsi="Arial"/>
        <w:color w:val="1c706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c17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2Horz">
      <w:rPr>
        <w:rFonts w:ascii="Arial" w:hAnsi="Arial"/>
        <w:color w:val="9c17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17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c17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c17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17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ed9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dded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0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5b5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ed9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ed9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ed9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ed9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ed9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d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dded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dded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dded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dded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dded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0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0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0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0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0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27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27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427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27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c62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c9c01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c9c01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c9c01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c9c01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9a3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9a29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9a29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9a29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9a29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71c3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71c3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71c3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71c3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427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1dcf2" w:themeFill="accent1" w:themeFillTint="40"/>
        <w:tcBorders/>
      </w:tcPr>
    </w:tblStylePr>
    <w:tblStylePr w:type="band2Horz">
      <w:rPr>
        <w:rFonts w:ascii="Arial" w:hAnsi="Arial"/>
        <w:color w:val="24427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27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427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427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427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427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be0cb" w:themeFill="accent2" w:themeFillTint="40"/>
        <w:tcBorders/>
      </w:tcPr>
    </w:tblStylePr>
    <w:tblStylePr w:type="band2Horz">
      <w:rPr>
        <w:rFonts w:ascii="Arial" w:hAnsi="Arial"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c62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c62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c9c0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fbd" w:themeFill="accent3" w:themeFillTint="40"/>
        <w:tcBorders/>
      </w:tcPr>
    </w:tblStylePr>
    <w:tblStylePr w:type="band2Horz">
      <w:rPr>
        <w:rFonts w:ascii="Arial" w:hAnsi="Arial"/>
        <w:color w:val="cc9c01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c9c01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c9c0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c9c01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c9c0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c9c01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d0" w:themeFill="accent4" w:themeFillTint="40"/>
        <w:tcBorders/>
      </w:tcPr>
    </w:tblStylePr>
    <w:tblStylePr w:type="band2Horz">
      <w:rPr>
        <w:rFonts w:ascii="Arial" w:hAnsi="Arial"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9a3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09a3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9a29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9f1ee" w:themeFill="accent5" w:themeFillTint="40"/>
        <w:tcBorders/>
      </w:tcPr>
    </w:tblStylePr>
    <w:tblStylePr w:type="band2Horz">
      <w:rPr>
        <w:rFonts w:ascii="Arial" w:hAnsi="Arial"/>
        <w:color w:val="29a29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9a29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9a29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9a29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9a29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9a29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71c3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2d7" w:themeFill="accent6" w:themeFillTint="40"/>
        <w:tcBorders/>
      </w:tcPr>
    </w:tblStylePr>
    <w:tblStylePr w:type="band2Horz">
      <w:rPr>
        <w:rFonts w:ascii="Arial" w:hAnsi="Arial"/>
        <w:color w:val="c71c3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71c3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71c3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71c30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71c3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71c3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6d3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6d3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6d3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6d3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77f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c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5b5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2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b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2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d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3f4f1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a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5"/>
    <w:next w:val="6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5"/>
    <w:next w:val="6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5"/>
    <w:next w:val="6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5"/>
    <w:next w:val="6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5"/>
    <w:next w:val="6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5"/>
    <w:next w:val="6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5"/>
    <w:next w:val="6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5"/>
    <w:next w:val="6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5"/>
    <w:next w:val="6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666"/>
    <w:link w:val="669"/>
    <w:uiPriority w:val="99"/>
    <w:pPr>
      <w:pBdr/>
      <w:spacing/>
      <w:ind/>
    </w:pPr>
  </w:style>
  <w:style w:type="character" w:styleId="179">
    <w:name w:val="Footer Char"/>
    <w:basedOn w:val="666"/>
    <w:link w:val="668"/>
    <w:uiPriority w:val="99"/>
    <w:pPr>
      <w:pBdr/>
      <w:spacing/>
      <w:ind/>
    </w:pPr>
  </w:style>
  <w:style w:type="paragraph" w:styleId="180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5"/>
    <w:next w:val="665"/>
    <w:uiPriority w:val="39"/>
    <w:unhideWhenUsed/>
    <w:pPr>
      <w:pBdr/>
      <w:spacing w:after="100"/>
      <w:ind/>
    </w:pPr>
  </w:style>
  <w:style w:type="paragraph" w:styleId="190">
    <w:name w:val="toc 2"/>
    <w:basedOn w:val="665"/>
    <w:next w:val="665"/>
    <w:uiPriority w:val="39"/>
    <w:unhideWhenUsed/>
    <w:pPr>
      <w:pBdr/>
      <w:spacing w:after="100"/>
      <w:ind w:left="220"/>
    </w:pPr>
  </w:style>
  <w:style w:type="paragraph" w:styleId="191">
    <w:name w:val="toc 3"/>
    <w:basedOn w:val="665"/>
    <w:next w:val="665"/>
    <w:uiPriority w:val="39"/>
    <w:unhideWhenUsed/>
    <w:pPr>
      <w:pBdr/>
      <w:spacing w:after="100"/>
      <w:ind w:left="440"/>
    </w:pPr>
  </w:style>
  <w:style w:type="paragraph" w:styleId="192">
    <w:name w:val="toc 4"/>
    <w:basedOn w:val="665"/>
    <w:next w:val="665"/>
    <w:uiPriority w:val="39"/>
    <w:unhideWhenUsed/>
    <w:pPr>
      <w:pBdr/>
      <w:spacing w:after="100"/>
      <w:ind w:left="660"/>
    </w:pPr>
  </w:style>
  <w:style w:type="paragraph" w:styleId="193">
    <w:name w:val="toc 5"/>
    <w:basedOn w:val="665"/>
    <w:next w:val="665"/>
    <w:uiPriority w:val="39"/>
    <w:unhideWhenUsed/>
    <w:pPr>
      <w:pBdr/>
      <w:spacing w:after="100"/>
      <w:ind w:left="880"/>
    </w:pPr>
  </w:style>
  <w:style w:type="paragraph" w:styleId="194">
    <w:name w:val="toc 6"/>
    <w:basedOn w:val="665"/>
    <w:next w:val="665"/>
    <w:uiPriority w:val="39"/>
    <w:unhideWhenUsed/>
    <w:pPr>
      <w:pBdr/>
      <w:spacing w:after="100"/>
      <w:ind w:left="1100"/>
    </w:pPr>
  </w:style>
  <w:style w:type="paragraph" w:styleId="195">
    <w:name w:val="toc 7"/>
    <w:basedOn w:val="665"/>
    <w:next w:val="665"/>
    <w:uiPriority w:val="39"/>
    <w:unhideWhenUsed/>
    <w:pPr>
      <w:pBdr/>
      <w:spacing w:after="100"/>
      <w:ind w:left="1320"/>
    </w:pPr>
  </w:style>
  <w:style w:type="paragraph" w:styleId="196">
    <w:name w:val="toc 8"/>
    <w:basedOn w:val="665"/>
    <w:next w:val="665"/>
    <w:uiPriority w:val="39"/>
    <w:unhideWhenUsed/>
    <w:pPr>
      <w:pBdr/>
      <w:spacing w:after="100"/>
      <w:ind w:left="1540"/>
    </w:pPr>
  </w:style>
  <w:style w:type="paragraph" w:styleId="197">
    <w:name w:val="toc 9"/>
    <w:basedOn w:val="665"/>
    <w:next w:val="6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66" w:default="1">
    <w:name w:val="Default Paragraph Font"/>
    <w:uiPriority w:val="1"/>
    <w:semiHidden/>
    <w:unhideWhenUsed/>
    <w:qFormat/>
    <w:pPr>
      <w:pBdr/>
      <w:spacing/>
      <w:ind/>
    </w:pPr>
  </w:style>
  <w:style w:type="table" w:styleId="66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8">
    <w:name w:val="Footer"/>
    <w:basedOn w:val="665"/>
    <w:link w:val="672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69">
    <w:name w:val="Header"/>
    <w:basedOn w:val="665"/>
    <w:link w:val="671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70" w:customStyle="1">
    <w:name w:val="font112"/>
    <w:basedOn w:val="666"/>
    <w:uiPriority w:val="0"/>
    <w:pPr>
      <w:pBdr/>
      <w:spacing/>
      <w:ind/>
    </w:pPr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styleId="671" w:customStyle="1">
    <w:name w:val="页眉 字符"/>
    <w:basedOn w:val="666"/>
    <w:link w:val="669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72" w:customStyle="1">
    <w:name w:val="页脚 字符"/>
    <w:basedOn w:val="666"/>
    <w:link w:val="668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陈晨</cp:lastModifiedBy>
  <cp:revision>15</cp:revision>
  <dcterms:created xsi:type="dcterms:W3CDTF">2024-10-30T01:18:00Z</dcterms:created>
  <dcterms:modified xsi:type="dcterms:W3CDTF">2025-11-06T02:49:30Z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F03BC8711DB5442FA1A2B491130E3285_11</vt:lpwstr>
  </property>
  <property fmtid="{D5CDD505-2E9C-101B-9397-08002B2CF9AE}" pid="4" name="KSOTemplateDocerSaveRecord">
    <vt:lpwstr>eyJoZGlkIjoiN2VmMzg5ZTM3NDc1ZjM0OWZhNjIwM2NmMDU1ZWM4ODkiLCJ1c2VySWQiOiIyMzg0NzIxNjkifQ==</vt:lpwstr>
  </property>
</Properties>
</file>