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1F80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-1177925</wp:posOffset>
            </wp:positionH>
            <wp:positionV relativeFrom="paragraph">
              <wp:posOffset>-906780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7E4A4"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 xml:space="preserve">  </w:t>
      </w:r>
    </w:p>
    <w:p w14:paraId="1B4E6BD3"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</w:p>
    <w:p w14:paraId="608F5BB6"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常州市新北区小学语文教学</w:t>
      </w:r>
    </w:p>
    <w:p w14:paraId="4D64E1BB"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蒋熙玲优秀教师培育室活动</w:t>
      </w:r>
    </w:p>
    <w:p w14:paraId="0CDF4C9C">
      <w:pPr>
        <w:tabs>
          <w:tab w:val="left" w:pos="5420"/>
        </w:tabs>
        <w:spacing w:line="480" w:lineRule="auto"/>
        <w:jc w:val="left"/>
        <w:rPr>
          <w:rFonts w:ascii="黑体" w:hAnsi="黑体" w:eastAsia="黑体" w:cs="黑体"/>
          <w:b/>
          <w:sz w:val="48"/>
          <w:szCs w:val="48"/>
        </w:rPr>
      </w:pPr>
      <w:r>
        <w:rPr>
          <w:rFonts w:ascii="黑体" w:hAnsi="黑体" w:eastAsia="黑体" w:cs="黑体"/>
          <w:b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314960</wp:posOffset>
            </wp:positionV>
            <wp:extent cx="5531485" cy="3687445"/>
            <wp:effectExtent l="0" t="0" r="5715" b="8255"/>
            <wp:wrapNone/>
            <wp:docPr id="1" name="图片 2" descr="d766a2c6d586da275249d9b93e69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766a2c6d586da275249d9b93e69a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48"/>
          <w:szCs w:val="48"/>
        </w:rPr>
        <w:tab/>
      </w:r>
    </w:p>
    <w:p w14:paraId="779EDAE6">
      <w:pPr>
        <w:spacing w:line="480" w:lineRule="auto"/>
        <w:jc w:val="center"/>
        <w:rPr>
          <w:rFonts w:ascii="黑体" w:hAnsi="黑体" w:eastAsia="黑体" w:cs="黑体"/>
          <w:b/>
          <w:sz w:val="48"/>
          <w:szCs w:val="48"/>
        </w:rPr>
      </w:pPr>
    </w:p>
    <w:p w14:paraId="266E9835">
      <w:pPr>
        <w:spacing w:line="480" w:lineRule="auto"/>
        <w:rPr>
          <w:rFonts w:ascii="黑体" w:hAnsi="黑体" w:eastAsia="黑体"/>
          <w:b/>
          <w:sz w:val="32"/>
          <w:szCs w:val="32"/>
        </w:rPr>
      </w:pPr>
    </w:p>
    <w:p w14:paraId="2CD14E30">
      <w:pPr>
        <w:rPr>
          <w:rFonts w:ascii="黑体" w:hAnsi="黑体" w:eastAsia="黑体"/>
          <w:b/>
          <w:sz w:val="32"/>
          <w:szCs w:val="32"/>
        </w:rPr>
      </w:pPr>
    </w:p>
    <w:p w14:paraId="2534C901"/>
    <w:p w14:paraId="5F8B8CE6"/>
    <w:p w14:paraId="0D253AF0"/>
    <w:p w14:paraId="0AA867CD"/>
    <w:p w14:paraId="6E92D9F5"/>
    <w:p w14:paraId="4045DA8A"/>
    <w:p w14:paraId="123E3707"/>
    <w:p w14:paraId="59CC2542"/>
    <w:p w14:paraId="295B64F5"/>
    <w:p w14:paraId="4F833411"/>
    <w:p w14:paraId="54D93B46"/>
    <w:p w14:paraId="0B798A81">
      <w:pPr>
        <w:tabs>
          <w:tab w:val="left" w:pos="4753"/>
        </w:tabs>
        <w:jc w:val="left"/>
      </w:pPr>
      <w:r>
        <w:rPr>
          <w:rFonts w:hint="eastAsia"/>
        </w:rPr>
        <w:tab/>
      </w:r>
    </w:p>
    <w:p w14:paraId="1EB5A833">
      <w:pPr>
        <w:jc w:val="left"/>
        <w:rPr>
          <w:rFonts w:ascii="隶书" w:eastAsia="隶书"/>
          <w:sz w:val="44"/>
          <w:szCs w:val="44"/>
        </w:rPr>
      </w:pPr>
    </w:p>
    <w:p w14:paraId="70F237A5">
      <w:pPr>
        <w:ind w:firstLine="964" w:firstLineChars="3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办：新北区小学语文教学蒋熙玲优秀教师培育室</w:t>
      </w:r>
    </w:p>
    <w:p w14:paraId="3204245A">
      <w:pPr>
        <w:ind w:firstLine="964" w:firstLineChars="3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办：常州市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河海实验学校</w:t>
      </w:r>
    </w:p>
    <w:p w14:paraId="1023476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 w14:paraId="1DC26355">
      <w:pPr>
        <w:tabs>
          <w:tab w:val="left" w:pos="4753"/>
        </w:tabs>
        <w:jc w:val="left"/>
      </w:pPr>
    </w:p>
    <w:p w14:paraId="1960B4CE">
      <w:pPr>
        <w:tabs>
          <w:tab w:val="left" w:pos="4753"/>
        </w:tabs>
        <w:jc w:val="left"/>
      </w:pPr>
    </w:p>
    <w:p w14:paraId="0C9A58E1">
      <w:pPr>
        <w:jc w:val="center"/>
        <w:rPr>
          <w:rFonts w:eastAsia="宋体"/>
          <w:b/>
          <w:bCs/>
        </w:rPr>
      </w:pPr>
    </w:p>
    <w:p w14:paraId="6053D563">
      <w:pPr>
        <w:jc w:val="both"/>
        <w:rPr>
          <w:rFonts w:hint="eastAsia" w:eastAsia="宋体"/>
          <w:b/>
          <w:bCs/>
        </w:rPr>
      </w:pPr>
    </w:p>
    <w:p w14:paraId="73705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关于开展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新北区小学语文蒋熙玲优秀教师培育室第三十三次活动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的通知</w:t>
      </w:r>
    </w:p>
    <w:p w14:paraId="3EAE3D3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ascii="仿宋_GB2312" w:hAnsi="宋体" w:eastAsia="仿宋_GB2312" w:cs="仿宋_GB2312"/>
          <w:i w:val="0"/>
          <w:iCs w:val="0"/>
          <w:caps w:val="0"/>
          <w:color w:val="313131"/>
          <w:spacing w:val="0"/>
          <w:sz w:val="24"/>
          <w:szCs w:val="24"/>
        </w:rPr>
        <w:t>各有关单位：</w:t>
      </w:r>
    </w:p>
    <w:p w14:paraId="6976755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为了深化课程改革，将新课标的理念切实落实到课堂教学之中，进一步探索“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任务情境下的单元整体教学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”策略，切实有效提升学生的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素养，改善教师教学，经研究决定开展新北区小学语文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优秀教师培育室第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十七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eastAsia="zh-CN"/>
        </w:rPr>
        <w:t>集中研修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  <w:t>活动。具体事项如下：</w:t>
      </w:r>
    </w:p>
    <w:p w14:paraId="4D2E338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90" w:lineRule="atLeast"/>
        <w:ind w:left="0" w:leftChars="0" w:right="0" w:rightChars="0" w:firstLine="48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一、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活动时间：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202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年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月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日</w:t>
      </w:r>
    </w:p>
    <w:p w14:paraId="533D783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90" w:lineRule="atLeast"/>
        <w:ind w:left="480"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二、活动地点：</w:t>
      </w:r>
      <w:r>
        <w:rPr>
          <w:rFonts w:hint="eastAsia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常州市河海实验学校</w:t>
      </w:r>
    </w:p>
    <w:p w14:paraId="6B22E52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三、参加对象：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优秀教师培育室全体成员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欢迎其他老师参加。</w:t>
      </w:r>
    </w:p>
    <w:p w14:paraId="2B7CC6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四、活动主题：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聚焦单元整体  赋能素养提升</w:t>
      </w:r>
    </w:p>
    <w:p w14:paraId="1FD7756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jc w:val="left"/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五、活动安排：</w:t>
      </w:r>
    </w:p>
    <w:tbl>
      <w:tblPr>
        <w:tblStyle w:val="5"/>
        <w:tblpPr w:leftFromText="180" w:rightFromText="180" w:vertAnchor="text" w:horzAnchor="page" w:tblpXSpec="center" w:tblpY="367"/>
        <w:tblOverlap w:val="never"/>
        <w:tblW w:w="9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1545"/>
        <w:gridCol w:w="1200"/>
        <w:gridCol w:w="2730"/>
        <w:gridCol w:w="1488"/>
        <w:gridCol w:w="1117"/>
      </w:tblGrid>
      <w:tr w14:paraId="34CC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FB2B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right="0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时 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D825C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形式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47AA9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D448C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主讲（主持）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562CA"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地点</w:t>
            </w:r>
          </w:p>
        </w:tc>
      </w:tr>
      <w:tr w14:paraId="750A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1DE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日(星期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)下午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028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13:30-14:10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ACB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501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五上: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圆明园的毁灭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F8D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华哲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D01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报告厅3</w:t>
            </w:r>
          </w:p>
        </w:tc>
      </w:tr>
      <w:tr w14:paraId="451D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0F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168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14:25-15:05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0F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5F6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六上: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夏天里的成长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》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216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王婧</w:t>
            </w:r>
          </w:p>
        </w:tc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A90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014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1E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C0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15:05-15:25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C96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评课研讨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B97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执教老师说课、反思</w:t>
            </w:r>
          </w:p>
          <w:p w14:paraId="497867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工作室成员评课研讨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0F12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工作室成员</w:t>
            </w:r>
          </w:p>
        </w:tc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8A2B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C2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446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3CB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15:25-15:35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AF3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理论学习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400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《大概念教学单元整体设计之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如何进行过程设计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7B1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邹琳燕</w:t>
            </w:r>
          </w:p>
        </w:tc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163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5B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F68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D0D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15:35-17:10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51A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专家引领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FCD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“实用性阅读与交流”任务群设计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例谈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点评、指导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9EB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蒋熙玲</w:t>
            </w: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3DE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574EA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黑体" w:eastAsia="黑体" w:cs="黑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六、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活动要求：</w:t>
      </w:r>
    </w:p>
    <w:p w14:paraId="40444E7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.请全体成员提前针对研讨主题研读教材，准备现场评课。</w:t>
      </w:r>
    </w:p>
    <w:p w14:paraId="2354E7D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 w:firstLine="480" w:firstLineChars="20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请全体成员准时参加，不得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无故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请假。</w:t>
      </w:r>
    </w:p>
    <w:p w14:paraId="6C474A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</w:rPr>
        <w:t>七、活动分工：</w:t>
      </w:r>
    </w:p>
    <w:p w14:paraId="299C19DD"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活动签到：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万杨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活动主持：支慧</w:t>
      </w:r>
    </w:p>
    <w:p w14:paraId="69B399AF"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撰写报道：周颖              活动摄影：陈银兰  陈慧</w:t>
      </w:r>
    </w:p>
    <w:p w14:paraId="58EA87FB"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公众号发文：陶玲玲          活动记录及资料收集：  陈佩依</w:t>
      </w:r>
    </w:p>
    <w:p w14:paraId="7B21FC29"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                                     常州市新北区教育管理服务中心  </w:t>
      </w:r>
    </w:p>
    <w:p w14:paraId="728A19D8"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fill="FFFFFF"/>
          <w:lang w:val="en-US" w:eastAsia="zh-CN" w:bidi="ar"/>
        </w:rPr>
        <w:t>新北区小学语文蒋熙玲优秀教师培育室</w:t>
      </w:r>
    </w:p>
    <w:p w14:paraId="3252DF45">
      <w:pPr>
        <w:ind w:firstLine="5280" w:firstLineChars="220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</w:p>
    <w:p w14:paraId="22B2F51C"/>
    <w:p w14:paraId="535B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 w14:paraId="13C16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5C17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语文</w:t>
            </w:r>
          </w:p>
        </w:tc>
        <w:tc>
          <w:tcPr>
            <w:tcW w:w="3359" w:type="dxa"/>
          </w:tcPr>
          <w:p w14:paraId="7443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班级：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）班</w:t>
            </w:r>
          </w:p>
        </w:tc>
        <w:tc>
          <w:tcPr>
            <w:tcW w:w="2529" w:type="dxa"/>
          </w:tcPr>
          <w:p w14:paraId="2369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日期：202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30</w:t>
            </w:r>
          </w:p>
        </w:tc>
      </w:tr>
      <w:tr w14:paraId="4EC65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2460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执教：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华哲</w:t>
            </w:r>
          </w:p>
        </w:tc>
        <w:tc>
          <w:tcPr>
            <w:tcW w:w="5888" w:type="dxa"/>
            <w:gridSpan w:val="2"/>
          </w:tcPr>
          <w:p w14:paraId="2F56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课题：《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圆明园的毁灭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</w:t>
            </w:r>
          </w:p>
        </w:tc>
      </w:tr>
      <w:tr w14:paraId="5C491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17CB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【单元整体思考】</w:t>
            </w:r>
          </w:p>
          <w:p w14:paraId="33F0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建立单元整体意识。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圆明园的毁灭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是统编教材五年级上册第四单元第三篇课文，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本单元的四篇课文，从不同维度共同构建了“家国情怀”的立体形象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《古诗三首》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从古典诗词中感受古人忧国忧民、渴望国家统一、期待社会变革的深沉情感。这是家国情怀的传统文化源头。《少年中国说（节选）》 将国家的未来与少年的担当紧密联系，充满激昂的信念感和磅礴的力量感。这是家国情怀的现代表达和行动号召。《圆明园的毁灭》通过对祖国昔日灿烂文明（骄傲）与其被毁灭（伤痛）的强烈对比，激发学生最为复杂和深刻的爱国情感——这种爱，因“失”而更显珍贵。《小岛》将宏大的家国情怀具体化到当代守岛官兵的日常奉献中，让学生理解和平年代的爱国就是平凡的坚守。</w:t>
            </w:r>
          </w:p>
          <w:p w14:paraId="6F79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圆明园的毁灭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文以“毁灭”为题，却以大量篇幅描绘圆明园昔日的辉煌景观与珍贵收藏，通过“美”与“毁”的强烈对比，深化悲剧色彩。首段点明“不可估量的损失”，结尾呼应“化为灰烬”，中间以详实的描写铺陈其建筑宏伟与文物荟萃，形成一扬一抑的情感张力，强化了读者对文化遗产被毁的痛惜。</w:t>
            </w:r>
          </w:p>
        </w:tc>
      </w:tr>
      <w:tr w14:paraId="6CBA2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4B45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【任务情境设计】</w:t>
            </w:r>
          </w:p>
          <w:p w14:paraId="1116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“长颈葫芦瓶”的来信贯穿始终，让历史可感可触。通过师生共读、小组探究、角色叙事等多维互动，营造平等对话的课堂生态。以开放性问题驱动思考，让学生在探究中自主建构对历史的理解。引导学生经历从自豪到悲愤，再到觉醒与担当的情感历程，实现精神的成长。</w:t>
            </w:r>
          </w:p>
        </w:tc>
      </w:tr>
      <w:tr w14:paraId="1F5B4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1695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【学习目标】</w:t>
            </w:r>
          </w:p>
          <w:p w14:paraId="65A8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1.学习生字词，指导书写“辉、煌”。</w:t>
            </w:r>
          </w:p>
          <w:p w14:paraId="3C0A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2.有感情地朗读课文，抓住关键词句了解圆明园的辉煌与毁灭，寻找圆明园被毁灭的原因，激发悲愤之情。</w:t>
            </w:r>
          </w:p>
          <w:p w14:paraId="64BF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3.结合资料体会文章情感的变化，树立强国责任感。</w:t>
            </w:r>
          </w:p>
        </w:tc>
      </w:tr>
      <w:tr w14:paraId="578F7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0CB0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【学习重难点】</w:t>
            </w:r>
          </w:p>
          <w:p w14:paraId="0722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1.有感情地朗读课文，抓住关键词句了解圆明园的辉煌与毁灭，寻找圆明园被毁灭的原因，激发对圆明园毁灭的痛惜之情，对外国侵略者的悲愤之情。</w:t>
            </w:r>
          </w:p>
          <w:p w14:paraId="7D7D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2.结合资料，体会文章情感的变化，树立强国责任感。</w:t>
            </w:r>
          </w:p>
        </w:tc>
      </w:tr>
      <w:tr w14:paraId="70DA5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68FA68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【学习过程】</w:t>
            </w:r>
          </w:p>
          <w:p w14:paraId="261CF660"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圆明园的毁灭》第二课时</w:t>
            </w:r>
          </w:p>
          <w:p w14:paraId="56F37F6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学习任务一：回望辉煌——我心中的圆明园</w:t>
            </w:r>
          </w:p>
          <w:p w14:paraId="4AFE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活动要求：通过多感官参与，深度感受圆明园昔日的辉煌，建立情感连接。</w:t>
            </w:r>
          </w:p>
          <w:p w14:paraId="50A5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学习形式：名人评价品读：分组朗读雨果、梁启超、鲁迅的评价。</w:t>
            </w:r>
          </w:p>
          <w:p w14:paraId="4029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在教师引导下回忆，脑海中浮现圆明园最美的一处景观。</w:t>
            </w:r>
          </w:p>
          <w:p w14:paraId="3548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思考：哪个画面最让你震撼？为什么？</w:t>
            </w:r>
          </w:p>
          <w:p w14:paraId="512F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分享交流：布局组：结合"众星拱月"布局图，解释其精妙之处，建筑组：展示收集的圆明园建筑图片，描述其特色，文物组：介绍圆明园馆藏文物的历史价值。</w:t>
            </w:r>
          </w:p>
          <w:p w14:paraId="06D2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配乐朗读第三小节，师生分角色朗读</w:t>
            </w:r>
          </w:p>
          <w:p w14:paraId="5C67FA61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学习任务二：亲历毁灭——倾听"长颈瓶"的诉说</w:t>
            </w:r>
          </w:p>
          <w:p w14:paraId="151B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活动要求：通过角色代入和合作探究，深刻体会圆明园被毁灭的惨痛历史。</w:t>
            </w:r>
          </w:p>
          <w:p w14:paraId="5083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学习形式：1、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独学：默读第五自然段，圈出让你心痛的词语。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共学：以“长颈葫芦瓶”的身份，说说圆明园是怎样被毁灭的？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研学：推选小组代表全班交流。（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6278ED19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学习任务三：探究根源——谁毁灭了圆明园？</w:t>
            </w:r>
          </w:p>
          <w:p w14:paraId="54A0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学习形式：阅读三则补充材料：</w:t>
            </w:r>
          </w:p>
          <w:p w14:paraId="6A17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默读圈画：阅读补充材料，结合表格圈出“参与者”及其“破坏行为”。</w:t>
            </w:r>
          </w:p>
          <w:p w14:paraId="59E5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小组讨论：围绕“毁灭圆明园的只有英法联军吗？”展开讨论，形成小组观点。</w:t>
            </w:r>
          </w:p>
          <w:p w14:paraId="05E1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全班分享：理解“内忧外患”的含义，明白“落后就要挨打”的历史教训。</w:t>
            </w:r>
          </w:p>
          <w:p w14:paraId="40D7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活动要求：通过史料分析和辩证思考，多维度探究圆明园被毁的深层原因，多角度理解"落后就要挨打"。</w:t>
            </w:r>
          </w:p>
          <w:p w14:paraId="1BCB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圆明园的毁灭是中国文化史上不可估量的损失，是世界文化史上不可估量的损失。完成语文补充习题45页。</w:t>
            </w:r>
          </w:p>
          <w:p w14:paraId="3BA708B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学习任务四：对比反思——辉煌与毁灭的震撼</w:t>
            </w:r>
          </w:p>
          <w:p w14:paraId="10CA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活动要求：通过对比阅读和拓展学习，体会写作手法，升华情感体验。</w:t>
            </w:r>
          </w:p>
          <w:p w14:paraId="5595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对比阅读：将描写辉煌与被毁的段落并列阅读，这样的写法有什么表达效果？</w:t>
            </w:r>
          </w:p>
          <w:p w14:paraId="398E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历史拓展：欣赏《七子之歌》片段</w:t>
            </w:r>
          </w:p>
          <w:p w14:paraId="2A4664AB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学习任务五：书写心声——致流失文物的明信片</w:t>
            </w:r>
          </w:p>
          <w:p w14:paraId="3A32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活动要求：通过创意写作，表达历史思考，树立文化自信。</w:t>
            </w:r>
          </w:p>
          <w:p w14:paraId="2875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学习形式：收信人：流失海外的文物（如兔首、鼠首等），写信人：长颈葫芦瓶的朋友。</w:t>
            </w:r>
          </w:p>
          <w:p w14:paraId="5373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介绍今日中国的变化，表达文物回家的信心。</w:t>
            </w:r>
          </w:p>
          <w:p w14:paraId="1D3B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作业设计：</w:t>
            </w:r>
          </w:p>
          <w:p w14:paraId="2B155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完善明信片内容；</w:t>
            </w:r>
          </w:p>
          <w:p w14:paraId="5A155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搜集有关圆明园的视频、资料，了解相关历史。</w:t>
            </w:r>
          </w:p>
          <w:p w14:paraId="2390C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板书设计：</w:t>
            </w:r>
          </w:p>
          <w:p w14:paraId="33793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圆明园的毁灭》</w:t>
            </w:r>
          </w:p>
          <w:p w14:paraId="3E41F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布局  建筑  历史文物</w:t>
            </w:r>
          </w:p>
          <w:p w14:paraId="34FA1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辉煌</w:t>
            </w:r>
          </w:p>
          <w:p w14:paraId="3A7DE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勿忘国耻  振兴中华</w:t>
            </w:r>
          </w:p>
        </w:tc>
      </w:tr>
    </w:tbl>
    <w:p w14:paraId="686F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3CB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0C1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4F2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7C27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5D6C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A788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BF6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3359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D1C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7D3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A9E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51E5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F13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0BB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933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17E20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E2E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4499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7871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1AA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77E3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 w14:paraId="219A1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6A46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语文</w:t>
            </w:r>
          </w:p>
        </w:tc>
        <w:tc>
          <w:tcPr>
            <w:tcW w:w="3359" w:type="dxa"/>
          </w:tcPr>
          <w:p w14:paraId="2B19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班级：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  <w:t>）班</w:t>
            </w:r>
          </w:p>
        </w:tc>
        <w:tc>
          <w:tcPr>
            <w:tcW w:w="2529" w:type="dxa"/>
          </w:tcPr>
          <w:p w14:paraId="3C9B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日期：202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30</w:t>
            </w:r>
          </w:p>
        </w:tc>
      </w:tr>
      <w:tr w14:paraId="60918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 w14:paraId="5130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执教：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王婧</w:t>
            </w:r>
          </w:p>
        </w:tc>
        <w:tc>
          <w:tcPr>
            <w:tcW w:w="5888" w:type="dxa"/>
            <w:gridSpan w:val="2"/>
          </w:tcPr>
          <w:p w14:paraId="1723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课题：《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夏天里的成长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</w:t>
            </w:r>
          </w:p>
        </w:tc>
      </w:tr>
      <w:tr w14:paraId="21CB5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4EC4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【单元整体思考】</w:t>
            </w:r>
          </w:p>
          <w:p w14:paraId="248E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元是习作单元。习作单元中每一项内容的安排，目的都指向习作能力的培养。精读课文的主要功能是从阅读中学习写作的方法；“交流平台”是结合对精读课文的分析、梳理总结课文的写作方法；“初试身手”是让学生尝试运用学到的方法进行表达练习；习作例文提供范例，其功能是继续体会写法；单元习作是引导学生运用方法进行实践。</w:t>
            </w:r>
          </w:p>
          <w:p w14:paraId="05E4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元的语文要素是“体会文章是怎样围绕中心意思来写的”，习作要求是“从不同方面或选取不同事例，表达中心意思”。围绕这一要素，安排了写人、记事、写景等不同类型的课文，包括精读课文和习作例文，引导学生体会怎样表达中心意思，帮助学生掌握围绕中心意思写作的方法。</w:t>
            </w:r>
          </w:p>
          <w:p w14:paraId="4CF4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单元的主要任务是培养学生围绕中心意思写作文的能力，整个单元都指向习作表达能力的提升。精读课文的教学与其他单元的精读课文侧重点不同，主要围绕学生表达能力的提升来进行，应着力引导学生关注课文围绕中心写了哪些内容。“交流平台”依托精读课文帮助学生对“围绕中心意思写”形成明确的理解，并通过“初试身手”板块练习选择合适的材料，练习寻找能表现中心意思的材料，促进学生将精读课文掌握的方法初步转化为习作技能。单元习作可以采用列提纲的方法，继续指导学生围绕中心意思选择合适的材料。要从“围绕中心意思选了哪些材料”的角度阅读习作例文，为学生选择材料提供范例，提升学生构思选材的能力。</w:t>
            </w:r>
          </w:p>
          <w:p w14:paraId="5FC1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《夏天里的成长》是一篇小散文，节选自作家梁容若的散文《夏天》。课文围绕“夏天是一个万物迅速生长的季节”这个中心意思，写了生物的飞快生长、大地山河的变化生长和人的成长。从生物写到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山河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地再写到人，表面看是从不同方面选材的并列结构，其实逻辑上是一种递进式结构，其写作的最终指向与落脚在于“人要用力成长”。这也是课文题目叫“夏天里的成长”，而不是“夏天里的生长”的原因吧。课文篇幅简短，但是语言文字反复中有变化，跳跃灵动，语句短长结合，富有节奏感，充分表现了夏天万物迅速生长的那种特有的感觉和味道，值得细细品味，更值得学习借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7B3C62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5F06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【学习目标】</w:t>
            </w:r>
          </w:p>
          <w:p w14:paraId="606C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1.会写“棚、粱”等生字，会写“活生生、苔藓”等词语。</w:t>
            </w:r>
          </w:p>
          <w:p w14:paraId="1937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2.找出文章的中心句,能说出课文从哪些方面描写“夏天里的成长”。</w:t>
            </w:r>
          </w:p>
          <w:p w14:paraId="195E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3.体会课文从不同方面表达中心意思的写法。</w:t>
            </w:r>
          </w:p>
        </w:tc>
      </w:tr>
      <w:tr w14:paraId="39C94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 w14:paraId="32C8F5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【学习过程】</w:t>
            </w:r>
          </w:p>
          <w:p w14:paraId="2058AB6D"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夏天里的成长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》第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课时</w:t>
            </w:r>
          </w:p>
          <w:p w14:paraId="161F6142">
            <w:p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关注单元导语：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写文章最重要的是立意，也就是确立文章想要表达的中心思想。</w:t>
            </w:r>
          </w:p>
          <w:p w14:paraId="17DB463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一、联系生活聊“成长”</w:t>
            </w:r>
          </w:p>
          <w:p w14:paraId="40503AD7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板书成长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六年级是成长的关键时期，如果用一个词来形容成长，你会用什么？</w:t>
            </w:r>
          </w:p>
          <w:p w14:paraId="22F24AA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2.（补全课题、齐读课题）你又会用哪个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词语来形容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夏天里的成长呢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  <w:p w14:paraId="3594F36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二、聚焦文本寻“成长”</w:t>
            </w:r>
          </w:p>
          <w:p w14:paraId="08CBE59B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1.自由朗读课文，读准字音，读通句子，思考：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课文是围绕哪句话来写的？在文中画下来（夏天是万物迅速生长的季节）</w:t>
            </w:r>
          </w:p>
          <w:p w14:paraId="28A29D3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2.（齐读）比照中心句和课题，你有什么发现？（中心句在文章中起到了点题的作用）那么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夏天里都有哪些事物在迅速生长呢？</w:t>
            </w:r>
          </w:p>
          <w:p w14:paraId="77A6128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3.默读课文2-4自然段，思考：围绕中心意思，课文具体写了哪几方面的内容呢？圈画出描写成长的事物，完成思维导图。</w:t>
            </w:r>
          </w:p>
          <w:p w14:paraId="0ABA7CE8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4.文章从有生命的动植物的长，写到没有生命的山河大地等的长，再写到人的成长，围绕中心、分类表达（板贴）就很有条理了。</w:t>
            </w:r>
          </w:p>
          <w:p w14:paraId="5B40BBB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、细品写法学“成长”</w:t>
            </w:r>
          </w:p>
          <w:p w14:paraId="7B6DBB0E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1.你从哪里感受到动植物迅速生长的？自由朗读第二自然段，边读边作批注，再小组交流。</w:t>
            </w:r>
          </w:p>
          <w:p w14:paraId="068EDFD4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（1）时间+变化</w:t>
            </w:r>
          </w:p>
          <w:p w14:paraId="6F070F86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你在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棚架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上看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瓜藤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，一天可以长出几寸；你到竹子林、高粱地里听声音，在叭叭的声响里，一夜可以多出半节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0F12B429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①关注语言表达：前后对仗（合作朗读）</w:t>
            </w:r>
          </w:p>
          <w:p w14:paraId="1BB367C0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②还可以去哪里看、听？花丛中、果园里你会看到？听到什么？……</w:t>
            </w:r>
          </w:p>
          <w:p w14:paraId="0E10DD59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③练写：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你在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_______看______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，一天可以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_____________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；你到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________听声音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，在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的声响里，一夜可以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_____________。</w:t>
            </w:r>
          </w:p>
          <w:p w14:paraId="5BCF7E47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昨天是苞蕾，今天是鲜花，明天就变成了小果实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779186EF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①“昨天、今天、明天”其实是指“过去、现在、未来”</w:t>
            </w:r>
          </w:p>
          <w:p w14:paraId="6B2C25A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②齐读，读出时间变化得快。</w:t>
            </w:r>
          </w:p>
          <w:p w14:paraId="2E73118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邻家的小猫小狗小鸡小鸭，个把月不过来，再见面，它已经有了妈妈的一半大。</w:t>
            </w:r>
          </w:p>
          <w:p w14:paraId="52B85A9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①指导朗读，感受成长之快。</w:t>
            </w:r>
          </w:p>
          <w:p w14:paraId="392127DC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②邻家除了小猫小狗小鸡小鸭，肯定还有很多别的，任选一个仿写：</w:t>
            </w:r>
          </w:p>
          <w:p w14:paraId="093D069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_____________，十来天没去看，_______________________________。</w:t>
            </w:r>
          </w:p>
          <w:p w14:paraId="12F70E9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邻家的____________，十来天没去看，______________________________。</w:t>
            </w:r>
          </w:p>
          <w:p w14:paraId="1261DA6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（2）体会按序描写</w:t>
            </w:r>
          </w:p>
          <w:p w14:paraId="3C55469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①这个自然段的四句话都是在围绕着“生物从小到大，本来是天天长的，不过夏天的长是飞快的长，跳跃的长，活生生的看得见的长。”来写的。</w:t>
            </w:r>
          </w:p>
          <w:p w14:paraId="386CE28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②标红时间词，链接《补充习题》，边读边体会：</w:t>
            </w:r>
          </w:p>
          <w:p w14:paraId="625C0CE6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瓜藤以肉眼可见的速度生长，竹子、高粱拔节的声音清晰可闻，这就是飞快的长；一天一个样儿，这就是跳跃的长；原来没有的，现在都有了，这就是活生生的长；长得这么明显，这就是看得见的长。</w:t>
            </w:r>
          </w:p>
          <w:p w14:paraId="5C49693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四、学以致用写“成长”</w:t>
            </w:r>
          </w:p>
          <w:p w14:paraId="2A55EDA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作业设计：围绕“秋天是收获的季节”写一段话。</w:t>
            </w:r>
          </w:p>
          <w:p w14:paraId="46959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板书设计：</w:t>
            </w:r>
          </w:p>
          <w:p w14:paraId="0253E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16.夏天里的成长</w:t>
            </w:r>
          </w:p>
          <w:p w14:paraId="1994B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400" w:firstLineChars="10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夏天是万物迅速生长的季节      围绕中心</w:t>
            </w:r>
          </w:p>
          <w:p w14:paraId="2478E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640" w:firstLineChars="1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动植物   山河大地  人       分类表达</w:t>
            </w:r>
          </w:p>
          <w:p w14:paraId="19396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按序描写</w:t>
            </w:r>
          </w:p>
        </w:tc>
      </w:tr>
    </w:tbl>
    <w:p w14:paraId="524D589C">
      <w:pPr>
        <w:tabs>
          <w:tab w:val="left" w:pos="4753"/>
        </w:tabs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56496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78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A78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A97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2UyZTg0NzBhYmE5NjVmMGIzNDhjZjI2MjNlZjcifQ=="/>
  </w:docVars>
  <w:rsids>
    <w:rsidRoot w:val="00B2116E"/>
    <w:rsid w:val="00107975"/>
    <w:rsid w:val="00442E23"/>
    <w:rsid w:val="004855FA"/>
    <w:rsid w:val="004A2970"/>
    <w:rsid w:val="005230E6"/>
    <w:rsid w:val="005D060E"/>
    <w:rsid w:val="0075071F"/>
    <w:rsid w:val="007A001F"/>
    <w:rsid w:val="008A22DA"/>
    <w:rsid w:val="00AC749C"/>
    <w:rsid w:val="00B2116E"/>
    <w:rsid w:val="00C6259F"/>
    <w:rsid w:val="00E25D51"/>
    <w:rsid w:val="00F2146C"/>
    <w:rsid w:val="03631CB2"/>
    <w:rsid w:val="0503110C"/>
    <w:rsid w:val="09C77F11"/>
    <w:rsid w:val="0EAC3E0D"/>
    <w:rsid w:val="0FF00350"/>
    <w:rsid w:val="14C51B64"/>
    <w:rsid w:val="14C85518"/>
    <w:rsid w:val="154C384A"/>
    <w:rsid w:val="15FB7B9B"/>
    <w:rsid w:val="16CC233F"/>
    <w:rsid w:val="18DD2342"/>
    <w:rsid w:val="18FF4517"/>
    <w:rsid w:val="19575173"/>
    <w:rsid w:val="1A9609E5"/>
    <w:rsid w:val="1BAB6958"/>
    <w:rsid w:val="1F2D5AEF"/>
    <w:rsid w:val="2A47502A"/>
    <w:rsid w:val="31952DBE"/>
    <w:rsid w:val="353F0DB1"/>
    <w:rsid w:val="393141C2"/>
    <w:rsid w:val="39777F08"/>
    <w:rsid w:val="3A195A77"/>
    <w:rsid w:val="3BF05D4F"/>
    <w:rsid w:val="3DE90DCD"/>
    <w:rsid w:val="3E3D5605"/>
    <w:rsid w:val="40925680"/>
    <w:rsid w:val="410C4A47"/>
    <w:rsid w:val="47415467"/>
    <w:rsid w:val="4A3974C6"/>
    <w:rsid w:val="4CC56D84"/>
    <w:rsid w:val="523F5B83"/>
    <w:rsid w:val="59EC4F6C"/>
    <w:rsid w:val="5C721CD7"/>
    <w:rsid w:val="5D7F1174"/>
    <w:rsid w:val="614F30BA"/>
    <w:rsid w:val="63A97F98"/>
    <w:rsid w:val="64233ED3"/>
    <w:rsid w:val="66682803"/>
    <w:rsid w:val="6B147830"/>
    <w:rsid w:val="6D1503FA"/>
    <w:rsid w:val="6D806684"/>
    <w:rsid w:val="6DF80910"/>
    <w:rsid w:val="70D74996"/>
    <w:rsid w:val="71E945B7"/>
    <w:rsid w:val="73617B6B"/>
    <w:rsid w:val="76AA41E1"/>
    <w:rsid w:val="770753EE"/>
    <w:rsid w:val="7A7D1626"/>
    <w:rsid w:val="7B0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4262</Words>
  <Characters>4505</Characters>
  <Lines>29</Lines>
  <Paragraphs>8</Paragraphs>
  <TotalTime>8</TotalTime>
  <ScaleCrop>false</ScaleCrop>
  <LinksUpToDate>false</LinksUpToDate>
  <CharactersWithSpaces>4677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2023-11-13T07:38:00Z</dcterms:created>
  <dc:creator>Administrator</dc:creator>
  <cp:lastModifiedBy>alena</cp:lastModifiedBy>
  <cp:lastPrinted>2024-09-11T03:09:00Z</cp:lastPrinted>
  <dcterms:modified xsi:type="dcterms:W3CDTF">2025-11-05T05:31:56Z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889C3F7DA27E49118D0181E70E50D1E2_13</vt:lpwstr>
  </property>
  <property fmtid="{D5CDD505-2E9C-101B-9397-08002B2CF9AE}" pid="4" name="KSOTemplateDocerSaveRecord">
    <vt:lpwstr>eyJoZGlkIjoiZTI0ZmY4NmQ5ZWUzMjdhYTBkZmUwNmE2M2M1MTcxYjEiLCJ1c2VySWQiOiI1MjUyNTgwMDIifQ==</vt:lpwstr>
  </property>
</Properties>
</file>