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CAF2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color w:val="000000"/>
          <w:sz w:val="32"/>
          <w:szCs w:val="32"/>
          <w:lang w:val="en-US" w:eastAsia="zh-CN"/>
        </w:rPr>
        <w:t>中班课程故事：</w:t>
      </w:r>
      <w:r>
        <w:rPr>
          <w:rFonts w:hint="eastAsia" w:ascii="黑体" w:hAnsi="黑体" w:eastAsia="黑体" w:cs="黑体"/>
          <w:b w:val="0"/>
          <w:bCs w:val="0"/>
          <w:sz w:val="32"/>
          <w:szCs w:val="32"/>
          <w:lang w:val="en-US" w:eastAsia="zh-CN"/>
        </w:rPr>
        <w:t>从一碗笋汤开启的探究之旅</w:t>
      </w:r>
    </w:p>
    <w:p w14:paraId="7F7EC05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常州市武进区政平幼儿园    浦钦妹</w:t>
      </w:r>
    </w:p>
    <w:p w14:paraId="125C1516">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一、课程缘起：一碗笋汤里的自然好奇</w:t>
      </w:r>
    </w:p>
    <w:p w14:paraId="01AAA97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1.偶发契机：从舌尖疑问到兴趣萌发</w:t>
      </w:r>
    </w:p>
    <w:p w14:paraId="5F96B946">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午餐时，幼儿指着汤中竹笋发出 “这是什么呀？”的疑问，引发连锁讨论——“我在公园里见过”“它长在土里还是树上？”。一句句好奇提问，点燃了全班对竹笋的探究热情，成为课程生发的自然起点。</w:t>
      </w:r>
    </w:p>
    <w:p w14:paraId="3C91D207">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2.价值研判：经验、资源与目标的契合</w:t>
      </w:r>
    </w:p>
    <w:p w14:paraId="38966F04">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经验分析：</w:t>
      </w:r>
      <w:r>
        <w:rPr>
          <w:rFonts w:hint="eastAsia" w:ascii="仿宋" w:hAnsi="仿宋" w:eastAsia="仿宋" w:cs="仿宋"/>
          <w:b w:val="0"/>
          <w:bCs w:val="0"/>
          <w:color w:val="000000" w:themeColor="text1"/>
          <w:sz w:val="28"/>
          <w:szCs w:val="28"/>
          <w:lang w:val="en-US" w:eastAsia="zh-CN"/>
          <w14:textFill>
            <w14:solidFill>
              <w14:schemeClr w14:val="tx1"/>
            </w14:solidFill>
          </w14:textFill>
        </w:rPr>
        <w:t>中班幼儿以具体形象思维为主，对自然事物的认知依赖直接感知与生活经验，通过调查发现其对竹笋的认识呈现“具象感知→特征描述→关联迁移”的递进差异。</w:t>
      </w:r>
    </w:p>
    <w:p w14:paraId="3F59166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资源适配：</w:t>
      </w:r>
      <w:r>
        <w:rPr>
          <w:rFonts w:hint="eastAsia" w:ascii="仿宋" w:hAnsi="仿宋" w:eastAsia="仿宋" w:cs="仿宋"/>
          <w:b w:val="0"/>
          <w:bCs w:val="0"/>
          <w:color w:val="000000" w:themeColor="text1"/>
          <w:sz w:val="28"/>
          <w:szCs w:val="28"/>
          <w:lang w:val="en-US" w:eastAsia="zh-CN"/>
          <w14:textFill>
            <w14:solidFill>
              <w14:schemeClr w14:val="tx1"/>
            </w14:solidFill>
          </w14:textFill>
        </w:rPr>
        <w:t>政平幼儿园地处乡镇，春季竹林、家园田野等资源丰富，为实地探究提供便利。</w:t>
      </w:r>
    </w:p>
    <w:p w14:paraId="26DC0BB2">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目标依据：</w:t>
      </w:r>
      <w:r>
        <w:rPr>
          <w:rFonts w:hint="eastAsia" w:ascii="仿宋" w:hAnsi="仿宋" w:eastAsia="仿宋" w:cs="仿宋"/>
          <w:b w:val="0"/>
          <w:bCs w:val="0"/>
          <w:color w:val="000000" w:themeColor="text1"/>
          <w:sz w:val="28"/>
          <w:szCs w:val="28"/>
          <w:lang w:val="en-US" w:eastAsia="zh-CN"/>
          <w14:textFill>
            <w14:solidFill>
              <w14:schemeClr w14:val="tx1"/>
            </w14:solidFill>
          </w14:textFill>
        </w:rPr>
        <w:t>紧扣《3-6 岁儿童学习与发展指南》“支持幼儿在自然中积累经验”及“能感知和区分物体的粗细、大小”的要求，放弃预设计划，以幼儿疑问为核心开启探究。</w:t>
      </w:r>
    </w:p>
    <w:p w14:paraId="40B80F95">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二、课程实践：幼儿主导的竹笋探秘之旅</w:t>
      </w:r>
    </w:p>
    <w:p w14:paraId="7A6944C7">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1.问题驱动：从疑问梳理到探究定向</w:t>
      </w:r>
    </w:p>
    <w:p w14:paraId="073C287F">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问题收集：</w:t>
      </w:r>
      <w:r>
        <w:rPr>
          <w:rFonts w:hint="eastAsia" w:ascii="仿宋" w:hAnsi="仿宋" w:eastAsia="仿宋" w:cs="仿宋"/>
          <w:b w:val="0"/>
          <w:bCs w:val="0"/>
          <w:color w:val="000000" w:themeColor="text1"/>
          <w:sz w:val="28"/>
          <w:szCs w:val="28"/>
          <w:lang w:val="en-US" w:eastAsia="zh-CN"/>
          <w14:textFill>
            <w14:solidFill>
              <w14:schemeClr w14:val="tx1"/>
            </w14:solidFill>
          </w14:textFill>
        </w:rPr>
        <w:t>组织“笋主题圈谈”，用思维导图梳理幼儿疑问。</w:t>
      </w:r>
    </w:p>
    <w:p w14:paraId="6F3C0DC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方向确定：</w:t>
      </w:r>
      <w:r>
        <w:rPr>
          <w:rFonts w:hint="eastAsia" w:ascii="仿宋" w:hAnsi="仿宋" w:eastAsia="仿宋" w:cs="仿宋"/>
          <w:b w:val="0"/>
          <w:bCs w:val="0"/>
          <w:color w:val="000000" w:themeColor="text1"/>
          <w:sz w:val="28"/>
          <w:szCs w:val="28"/>
          <w:lang w:val="en-US" w:eastAsia="zh-CN"/>
          <w14:textFill>
            <w14:solidFill>
              <w14:schemeClr w14:val="tx1"/>
            </w14:solidFill>
          </w14:textFill>
        </w:rPr>
        <w:t>关于笋的问题很多，发现孩子们对笋的家在哪里这个话题很感兴趣，于是围绕着这个话题开始我们的探究，让幼儿掌控探究节奏。</w:t>
      </w:r>
    </w:p>
    <w:p w14:paraId="5EE412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2.实践探究：从问题解决到经验迭代</w:t>
      </w:r>
    </w:p>
    <w:p w14:paraId="0D3474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（1）选址与准备：自主规划中的能力生长</w:t>
      </w:r>
    </w:p>
    <w:p w14:paraId="517C33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选址讨论：</w:t>
      </w:r>
      <w:r>
        <w:rPr>
          <w:rFonts w:hint="eastAsia" w:ascii="仿宋" w:hAnsi="仿宋" w:eastAsia="仿宋" w:cs="仿宋"/>
          <w:b w:val="0"/>
          <w:bCs w:val="0"/>
          <w:sz w:val="28"/>
          <w:szCs w:val="28"/>
          <w:lang w:val="en-US" w:eastAsia="zh-CN"/>
        </w:rPr>
        <w:t>设计并发放寻笋地点调查问卷，并根据调查表整合信息，将寻笋卡汇总制作成政平笋资源地图，周边一共有5个竹林挖笋点。</w:t>
      </w:r>
    </w:p>
    <w:p w14:paraId="6EE968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准备清单：</w:t>
      </w:r>
      <w:r>
        <w:rPr>
          <w:rFonts w:hint="eastAsia" w:ascii="仿宋" w:hAnsi="仿宋" w:eastAsia="仿宋" w:cs="仿宋"/>
          <w:b w:val="0"/>
          <w:bCs w:val="0"/>
          <w:sz w:val="28"/>
          <w:szCs w:val="28"/>
          <w:lang w:val="en-US" w:eastAsia="zh-CN"/>
        </w:rPr>
        <w:t>分组讨论“挖笋需要什么”，形成“工具+安全+生活”三类准备清单。</w:t>
      </w:r>
    </w:p>
    <w:p w14:paraId="05E373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（2）挖笋实践：试错中的深度思考</w:t>
      </w:r>
    </w:p>
    <w:p w14:paraId="18C1A970">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第一次挖笋出现笋断裂、工具用不好等问题，其中如何挖出完整的笋和如何选择合适的工具是孩子们最关心的问题，我们讨论分析，总结原因。</w:t>
      </w:r>
    </w:p>
    <w:p w14:paraId="62096A37">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方法探究：</w:t>
      </w:r>
      <w:r>
        <w:rPr>
          <w:rFonts w:hint="eastAsia" w:ascii="仿宋" w:hAnsi="仿宋" w:eastAsia="仿宋" w:cs="仿宋"/>
          <w:b w:val="0"/>
          <w:bCs w:val="0"/>
          <w:sz w:val="28"/>
          <w:szCs w:val="28"/>
          <w:lang w:val="en-US" w:eastAsia="zh-CN"/>
        </w:rPr>
        <w:t>如何解决这一难题，孩子们经过头脑风暴，并通过“问家长、查资料、看视频”等多元渠道。</w:t>
      </w:r>
    </w:p>
    <w:p w14:paraId="5612C21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再探验证：</w:t>
      </w:r>
      <w:r>
        <w:rPr>
          <w:rFonts w:hint="eastAsia" w:ascii="仿宋" w:hAnsi="仿宋" w:eastAsia="仿宋" w:cs="仿宋"/>
          <w:b w:val="0"/>
          <w:bCs w:val="0"/>
          <w:sz w:val="28"/>
          <w:szCs w:val="28"/>
          <w:lang w:val="en-US" w:eastAsia="zh-CN"/>
        </w:rPr>
        <w:t>总结挖笋步骤后，孩子们再次前往挖笋点挖笋。从对比图中可以看中，有了第一次的挖笋经验，带着总结的方法，孩子们成功挖到越来越多的完整竹笋，体验了“试错-总结-成功”的探究闭环。</w:t>
      </w:r>
    </w:p>
    <w:p w14:paraId="327858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（3）后续延伸：从自然到生活的联结</w:t>
      </w:r>
    </w:p>
    <w:p w14:paraId="091FF997">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将竹笋探究从户外实践延伸至班级各区域与家庭场景，让自然教育渗透生活点滴。通过“班级-家庭”的联动，真正实现自然教育向生活的延伸。</w:t>
      </w:r>
    </w:p>
    <w:p w14:paraId="719EEC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3.资源建构：从零散盘点到系统整合</w:t>
      </w:r>
    </w:p>
    <w:p w14:paraId="55090A6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1.0 版资源初探</w:t>
      </w:r>
      <w:r>
        <w:rPr>
          <w:rFonts w:hint="eastAsia" w:ascii="仿宋" w:hAnsi="仿宋" w:eastAsia="仿宋" w:cs="仿宋"/>
          <w:b w:val="0"/>
          <w:bCs w:val="0"/>
          <w:sz w:val="28"/>
          <w:szCs w:val="28"/>
          <w:lang w:val="en-US" w:eastAsia="zh-CN"/>
        </w:rPr>
        <w:t>：围绕与“竹笋”相关内容，初步梳理园内外资源。</w:t>
      </w:r>
    </w:p>
    <w:p w14:paraId="6EB3D3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2.0 版资源升级：</w:t>
      </w:r>
      <w:r>
        <w:rPr>
          <w:rFonts w:hint="eastAsia" w:ascii="仿宋" w:hAnsi="仿宋" w:eastAsia="仿宋" w:cs="仿宋"/>
          <w:b w:val="0"/>
          <w:bCs w:val="0"/>
          <w:sz w:val="28"/>
          <w:szCs w:val="28"/>
          <w:lang w:val="en-US" w:eastAsia="zh-CN"/>
        </w:rPr>
        <w:t>构建材料-环境-信息-人力四维资源库。</w:t>
      </w:r>
    </w:p>
    <w:p w14:paraId="521F55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资源地图生成：</w:t>
      </w:r>
      <w:r>
        <w:rPr>
          <w:rFonts w:hint="eastAsia" w:ascii="仿宋" w:hAnsi="仿宋" w:eastAsia="仿宋" w:cs="仿宋"/>
          <w:b w:val="0"/>
          <w:bCs w:val="0"/>
          <w:sz w:val="28"/>
          <w:szCs w:val="28"/>
          <w:lang w:val="en-US" w:eastAsia="zh-CN"/>
        </w:rPr>
        <w:t>制作政平笋资源地图，直观呈现探究场域。</w:t>
      </w:r>
    </w:p>
    <w:p w14:paraId="2CB91F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4.教师支持：从主导者到赋能者</w:t>
      </w:r>
    </w:p>
    <w:p w14:paraId="3BB85C9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教师始终以追随幼儿、适度支持为原则，通过精准化、差异化的策略，为幼儿探究搭建脚手架，既保障幼儿的自主地位，又推动课程深度发展。</w:t>
      </w:r>
    </w:p>
    <w:p w14:paraId="7EFAAF64">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课程收获：师幼共长的美好印记</w:t>
      </w:r>
    </w:p>
    <w:p w14:paraId="508DC81D">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rPr>
        <w:t>幼儿</w:t>
      </w:r>
      <w:r>
        <w:rPr>
          <w:rFonts w:hint="eastAsia" w:ascii="仿宋" w:hAnsi="仿宋" w:eastAsia="仿宋" w:cs="仿宋"/>
          <w:b/>
          <w:bCs/>
          <w:sz w:val="28"/>
          <w:szCs w:val="28"/>
          <w:lang w:val="en-US" w:eastAsia="zh-CN"/>
        </w:rPr>
        <w:t>收获</w:t>
      </w:r>
      <w:r>
        <w:rPr>
          <w:rFonts w:hint="eastAsia" w:ascii="仿宋" w:hAnsi="仿宋" w:eastAsia="仿宋" w:cs="仿宋"/>
          <w:b/>
          <w:bCs/>
          <w:sz w:val="28"/>
          <w:szCs w:val="28"/>
        </w:rPr>
        <w:t>：在探究中全面</w:t>
      </w:r>
      <w:r>
        <w:rPr>
          <w:rFonts w:hint="eastAsia" w:ascii="仿宋" w:hAnsi="仿宋" w:eastAsia="仿宋" w:cs="仿宋"/>
          <w:b/>
          <w:bCs/>
          <w:sz w:val="28"/>
          <w:szCs w:val="28"/>
          <w:lang w:val="en-US" w:eastAsia="zh-CN"/>
        </w:rPr>
        <w:t>发展。</w:t>
      </w:r>
      <w:r>
        <w:rPr>
          <w:rFonts w:hint="eastAsia" w:ascii="仿宋" w:hAnsi="仿宋" w:eastAsia="仿宋" w:cs="仿宋"/>
          <w:b w:val="0"/>
          <w:bCs w:val="0"/>
          <w:sz w:val="28"/>
          <w:szCs w:val="28"/>
          <w:lang w:val="en-US" w:eastAsia="zh-CN"/>
        </w:rPr>
        <w:t>孩子们从对竹笋的模糊认知到主动探究其生长奥秘，在这场自然之旅中实现了多维度能力的协同发展。</w:t>
      </w:r>
    </w:p>
    <w:p w14:paraId="6B7B90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 w:hAnsi="仿宋" w:eastAsia="仿宋" w:cs="仿宋"/>
          <w:b w:val="0"/>
          <w:bCs w:val="0"/>
          <w:sz w:val="28"/>
          <w:szCs w:val="28"/>
        </w:rPr>
      </w:pPr>
      <w:r>
        <w:rPr>
          <w:rFonts w:hint="eastAsia" w:ascii="仿宋" w:hAnsi="仿宋" w:eastAsia="仿宋" w:cs="仿宋"/>
          <w:b/>
          <w:bCs/>
          <w:sz w:val="28"/>
          <w:szCs w:val="28"/>
          <w:lang w:val="en-US" w:eastAsia="zh-CN"/>
        </w:rPr>
        <w:t>教师收获：在追随中专业进阶。</w:t>
      </w:r>
      <w:r>
        <w:rPr>
          <w:rFonts w:hint="eastAsia" w:ascii="仿宋" w:hAnsi="仿宋" w:eastAsia="仿宋" w:cs="仿宋"/>
          <w:b w:val="0"/>
          <w:bCs w:val="0"/>
          <w:sz w:val="28"/>
          <w:szCs w:val="28"/>
          <w:lang w:val="en-US" w:eastAsia="zh-CN"/>
        </w:rPr>
        <w:t>从预设课程的执行者到幼儿探究的赋能者，教师在竹笋课程中完成了专业角色与教育理念的双重进阶。</w:t>
      </w:r>
    </w:p>
    <w:p w14:paraId="7575AEFE">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b w:val="0"/>
          <w:bCs w:val="0"/>
          <w:sz w:val="28"/>
          <w:szCs w:val="28"/>
        </w:rPr>
        <w:t>亲自然教育的美好，从不在预设的框架里，而藏在幼儿蹲身观察笋尖的专注里，在他们自主解决问题的执着里</w:t>
      </w:r>
      <w:bookmarkStart w:id="0" w:name="_GoBack"/>
      <w:bookmarkEnd w:id="0"/>
      <w:r>
        <w:rPr>
          <w:rFonts w:hint="eastAsia" w:ascii="仿宋" w:hAnsi="仿宋" w:eastAsia="仿宋" w:cs="仿宋"/>
          <w:b w:val="0"/>
          <w:bCs w:val="0"/>
          <w:sz w:val="28"/>
          <w:szCs w:val="28"/>
        </w:rPr>
        <w:t>。</w:t>
      </w:r>
    </w:p>
    <w:sectPr>
      <w:headerReference r:id="rId3" w:type="default"/>
      <w:pgSz w:w="11906" w:h="16838"/>
      <w:pgMar w:top="1417" w:right="1247" w:bottom="1417" w:left="1474" w:header="708"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9F00A">
    <w:pPr>
      <w:pStyle w:val="9"/>
      <w:pBdr>
        <w:bottom w:val="single" w:color="auto" w:sz="4" w:space="1"/>
      </w:pBdr>
      <w:jc w:val="both"/>
    </w:pPr>
    <w:r>
      <w:rPr>
        <w:rFonts w:hint="eastAsia"/>
      </w:rPr>
      <w:drawing>
        <wp:inline distT="0" distB="0" distL="114300" distR="114300">
          <wp:extent cx="227965" cy="221615"/>
          <wp:effectExtent l="0" t="0" r="635" b="6985"/>
          <wp:docPr id="16" name="图片 1" descr="新园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新园标"/>
                  <pic:cNvPicPr>
                    <a:picLocks noChangeAspect="1"/>
                  </pic:cNvPicPr>
                </pic:nvPicPr>
                <pic:blipFill>
                  <a:blip r:embed="rId1"/>
                  <a:stretch>
                    <a:fillRect/>
                  </a:stretch>
                </pic:blipFill>
                <pic:spPr>
                  <a:xfrm>
                    <a:off x="0" y="0"/>
                    <a:ext cx="227965" cy="221615"/>
                  </a:xfrm>
                  <a:prstGeom prst="rect">
                    <a:avLst/>
                  </a:prstGeom>
                  <a:noFill/>
                  <a:ln>
                    <a:noFill/>
                  </a:ln>
                </pic:spPr>
              </pic:pic>
            </a:graphicData>
          </a:graphic>
        </wp:inline>
      </w:drawing>
    </w:r>
    <w:r>
      <w:rPr>
        <w:rFonts w:hint="eastAsia"/>
      </w:rPr>
      <w:t>武进区机关幼儿园教育集团</w:t>
    </w:r>
    <w:r>
      <w:rPr>
        <w:rFonts w:hint="eastAsia"/>
        <w:lang w:val="en-US" w:eastAsia="zh-CN"/>
      </w:rPr>
      <w:t>政平幼儿园</w:t>
    </w:r>
    <w:r>
      <w:rPr>
        <w:rFonts w:hint="eastAsia"/>
      </w:rPr>
      <w:t xml:space="preserve">  </w:t>
    </w:r>
    <w:r>
      <w:rPr>
        <w:rFonts w:hint="eastAsia"/>
        <w:lang w:val="en-US" w:eastAsia="zh-CN"/>
      </w:rPr>
      <w:t xml:space="preserve">                                                                                               武进区区级开放活动</w:t>
    </w:r>
  </w:p>
  <w:p w14:paraId="2D7A0BDF">
    <w:pPr>
      <w:pStyle w:val="9"/>
      <w:rPr>
        <w:rFonts w:hint="default" w:eastAsiaTheme="minorEastAsia"/>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compatSetting w:name="compatibilityMode" w:uri="http://schemas.microsoft.com/office/word" w:val="15"/>
  </w:compat>
  <w:rsids>
    <w:rsidRoot w:val="00000000"/>
    <w:rsid w:val="01E1011E"/>
    <w:rsid w:val="0ECE0B5B"/>
    <w:rsid w:val="0F165238"/>
    <w:rsid w:val="116701B0"/>
    <w:rsid w:val="15E32860"/>
    <w:rsid w:val="163B5DE2"/>
    <w:rsid w:val="190F4BD1"/>
    <w:rsid w:val="198D61E2"/>
    <w:rsid w:val="2014062E"/>
    <w:rsid w:val="24BC44D8"/>
    <w:rsid w:val="2D475E6C"/>
    <w:rsid w:val="30587D80"/>
    <w:rsid w:val="32601633"/>
    <w:rsid w:val="345A291A"/>
    <w:rsid w:val="38C46B6F"/>
    <w:rsid w:val="39893F6C"/>
    <w:rsid w:val="3DE66F42"/>
    <w:rsid w:val="3F48510B"/>
    <w:rsid w:val="44BC38E0"/>
    <w:rsid w:val="4E535E33"/>
    <w:rsid w:val="4F0A3E3B"/>
    <w:rsid w:val="4FA13F4F"/>
    <w:rsid w:val="50CB601A"/>
    <w:rsid w:val="550F1237"/>
    <w:rsid w:val="555F014F"/>
    <w:rsid w:val="56383BE5"/>
    <w:rsid w:val="5E991F51"/>
    <w:rsid w:val="5F531564"/>
    <w:rsid w:val="5F654A78"/>
    <w:rsid w:val="60962A24"/>
    <w:rsid w:val="62722CE0"/>
    <w:rsid w:val="64CD09EE"/>
    <w:rsid w:val="67DB6E3A"/>
    <w:rsid w:val="6ECC75F9"/>
    <w:rsid w:val="6F701A9C"/>
    <w:rsid w:val="77804764"/>
    <w:rsid w:val="7960789B"/>
    <w:rsid w:val="7B9F5C19"/>
    <w:rsid w:val="7CCF44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next w:val="1"/>
    <w:qFormat/>
    <w:uiPriority w:val="0"/>
    <w:pPr>
      <w:spacing w:before="240" w:after="120" w:line="288" w:lineRule="auto"/>
      <w:ind w:left="0"/>
      <w:jc w:val="left"/>
      <w:outlineLvl w:val="4"/>
    </w:pPr>
    <w:rPr>
      <w:rFonts w:ascii="Arial" w:hAnsi="Arial" w:eastAsia="等线" w:cs="Arial"/>
      <w:b/>
      <w:bCs/>
      <w:sz w:val="24"/>
      <w:szCs w:val="24"/>
    </w:rPr>
  </w:style>
  <w:style w:type="paragraph" w:styleId="7">
    <w:name w:val="heading 6"/>
    <w:next w:val="1"/>
    <w:qFormat/>
    <w:uiPriority w:val="0"/>
    <w:pPr>
      <w:spacing w:before="240" w:after="120" w:line="288" w:lineRule="auto"/>
      <w:ind w:left="0"/>
      <w:jc w:val="left"/>
      <w:outlineLvl w:val="5"/>
    </w:pPr>
    <w:rPr>
      <w:rFonts w:ascii="Arial" w:hAnsi="Arial" w:eastAsia="等线" w:cs="Arial"/>
      <w:b/>
      <w:bCs/>
      <w:sz w:val="24"/>
      <w:szCs w:val="2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link w:val="19"/>
    <w:semiHidden/>
    <w:unhideWhenUsed/>
    <w:qFormat/>
    <w:uiPriority w:val="99"/>
    <w:pPr>
      <w:spacing w:after="0" w:line="240" w:lineRule="auto"/>
    </w:pPr>
    <w:rPr>
      <w:rFonts w:asciiTheme="minorHAnsi" w:hAnsiTheme="minorHAnsi" w:eastAsiaTheme="minorEastAsia" w:cstheme="minorBidi"/>
      <w:sz w:val="20"/>
      <w:szCs w:val="20"/>
    </w:rPr>
  </w:style>
  <w:style w:type="paragraph" w:styleId="11">
    <w:name w:val="Title"/>
    <w:qFormat/>
    <w:uiPriority w:val="0"/>
    <w:pPr>
      <w:spacing w:before="480" w:after="480" w:line="288" w:lineRule="auto"/>
      <w:ind w:left="0"/>
    </w:pPr>
    <w:rPr>
      <w:rFonts w:ascii="Arial" w:hAnsi="Arial" w:eastAsia="等线" w:cs="Arial"/>
      <w:b/>
      <w:bCs/>
      <w:sz w:val="52"/>
      <w:szCs w:val="5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Hyperlink"/>
    <w:unhideWhenUsed/>
    <w:qFormat/>
    <w:uiPriority w:val="99"/>
    <w:rPr>
      <w:color w:val="0563C1"/>
      <w:u w:val="single"/>
    </w:rPr>
  </w:style>
  <w:style w:type="character" w:styleId="17">
    <w:name w:val="footnote reference"/>
    <w:semiHidden/>
    <w:unhideWhenUsed/>
    <w:qFormat/>
    <w:uiPriority w:val="99"/>
    <w:rPr>
      <w:vertAlign w:val="superscript"/>
    </w:rPr>
  </w:style>
  <w:style w:type="paragraph" w:styleId="18">
    <w:name w:val="List Paragraph"/>
    <w:qFormat/>
    <w:uiPriority w:val="0"/>
    <w:rPr>
      <w:rFonts w:asciiTheme="minorHAnsi" w:hAnsiTheme="minorHAnsi" w:eastAsiaTheme="minorEastAsia" w:cstheme="minorBidi"/>
      <w:sz w:val="21"/>
      <w:szCs w:val="22"/>
    </w:rPr>
  </w:style>
  <w:style w:type="character" w:customStyle="1" w:styleId="19">
    <w:name w:val="Footnote Text Char"/>
    <w:link w:val="10"/>
    <w:semiHidden/>
    <w:unhideWhenUsed/>
    <w:qFormat/>
    <w:uiPriority w:val="99"/>
    <w:rPr>
      <w:sz w:val="20"/>
      <w:szCs w:val="20"/>
    </w:rPr>
  </w:style>
  <w:style w:type="paragraph" w:customStyle="1" w:styleId="20">
    <w:name w:val="_Style 13"/>
    <w:qFormat/>
    <w:uiPriority w:val="0"/>
    <w:pPr>
      <w:spacing w:before="120" w:after="120" w:line="288" w:lineRule="auto"/>
      <w:ind w:left="0"/>
      <w:jc w:val="left"/>
    </w:pPr>
    <w:rPr>
      <w:rFonts w:ascii="Arial" w:hAnsi="Arial" w:eastAsia="等线" w:cs="Arial"/>
      <w:sz w:val="22"/>
      <w:szCs w:val="22"/>
    </w:rPr>
  </w:style>
  <w:style w:type="paragraph" w:customStyle="1" w:styleId="21">
    <w:name w:val="_Style 14"/>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1572</Words>
  <Characters>1589</Characters>
  <TotalTime>32</TotalTime>
  <ScaleCrop>false</ScaleCrop>
  <LinksUpToDate>false</LinksUpToDate>
  <CharactersWithSpaces>1601</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2025-10-14T12:57:00Z</dcterms:created>
  <dc:creator>Un-named</dc:creator>
  <cp:lastModifiedBy>当当</cp:lastModifiedBy>
  <dcterms:modified xsi:type="dcterms:W3CDTF">2025-10-24T03:11:20Z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eyJoZGlkIjoiNTE4YmUzZjJkZWFiY2QwMThjNzgyNzI4YzE3ZDA1YTQiLCJ1c2VySWQiOiI1MzcyMzE5NTYifQ==</vt:lpwstr>
  </property>
  <property fmtid="{D5CDD505-2E9C-101B-9397-08002B2CF9AE}" pid="3" name="KSOProductBuildVer">
    <vt:lpwstr>2052-12.1.0.23125</vt:lpwstr>
  </property>
  <property fmtid="{D5CDD505-2E9C-101B-9397-08002B2CF9AE}" pid="4" name="ICV">
    <vt:lpwstr>08389A3E49D640F8BC88016211FEA4E5_13</vt:lpwstr>
  </property>
</Properties>
</file>