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376B3">
      <w:pPr>
        <w:jc w:val="center"/>
        <w:rPr>
          <w:rFonts w:hint="default"/>
          <w:b/>
          <w:bCs/>
          <w:sz w:val="32"/>
          <w:szCs w:val="32"/>
          <w:lang w:val="en-US" w:eastAsia="zh-CN"/>
        </w:rPr>
      </w:pPr>
      <w:r>
        <w:rPr>
          <w:rFonts w:hint="eastAsia"/>
          <w:b/>
          <w:bCs/>
          <w:sz w:val="32"/>
          <w:szCs w:val="32"/>
          <w:lang w:val="en-US" w:eastAsia="zh-CN"/>
        </w:rPr>
        <w:t>基于核心素养的初中语文阅读教学评价体系构建</w:t>
      </w:r>
    </w:p>
    <w:p w14:paraId="5C3D4CE3">
      <w:pPr>
        <w:jc w:val="center"/>
        <w:rPr>
          <w:rFonts w:hint="eastAsia"/>
          <w:b/>
          <w:bCs/>
          <w:sz w:val="32"/>
          <w:szCs w:val="32"/>
          <w:lang w:val="en-US" w:eastAsia="zh-CN"/>
        </w:rPr>
      </w:pPr>
      <w:r>
        <w:rPr>
          <w:rFonts w:hint="eastAsia"/>
          <w:b/>
          <w:bCs/>
          <w:sz w:val="32"/>
          <w:szCs w:val="32"/>
          <w:lang w:val="en-US" w:eastAsia="zh-CN"/>
        </w:rPr>
        <w:t>结题报告</w:t>
      </w:r>
    </w:p>
    <w:p w14:paraId="35FDE995">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  常州市</w:t>
      </w:r>
      <w:r>
        <w:rPr>
          <w:rFonts w:hint="eastAsia" w:ascii="楷体_GB2312" w:hAnsi="宋体" w:eastAsia="楷体_GB2312" w:cs="宋体"/>
          <w:kern w:val="0"/>
          <w:sz w:val="24"/>
          <w:lang w:val="en-US" w:eastAsia="zh-CN"/>
        </w:rPr>
        <w:t>清潭中学语文</w:t>
      </w:r>
      <w:r>
        <w:rPr>
          <w:rFonts w:hint="eastAsia" w:ascii="楷体_GB2312" w:hAnsi="宋体" w:eastAsia="楷体_GB2312" w:cs="宋体"/>
          <w:kern w:val="0"/>
          <w:sz w:val="24"/>
        </w:rPr>
        <w:t>课题组—</w:t>
      </w:r>
    </w:p>
    <w:p w14:paraId="4FCF4679">
      <w:pPr>
        <w:widowControl/>
        <w:adjustRightInd w:val="0"/>
        <w:snapToGrid w:val="0"/>
        <w:jc w:val="center"/>
        <w:rPr>
          <w:rFonts w:hint="eastAsia" w:ascii="楷体_GB2312" w:hAnsi="宋体" w:eastAsia="楷体_GB2312" w:cs="宋体"/>
          <w:kern w:val="0"/>
          <w:sz w:val="24"/>
        </w:rPr>
      </w:pPr>
    </w:p>
    <w:p w14:paraId="4BDD3D01">
      <w:pPr>
        <w:ind w:firstLine="480" w:firstLineChars="200"/>
        <w:jc w:val="left"/>
        <w:rPr>
          <w:rFonts w:hint="eastAsia" w:ascii="楷体" w:hAnsi="楷体" w:eastAsia="楷体" w:cs="楷体"/>
          <w:sz w:val="24"/>
        </w:rPr>
      </w:pPr>
      <w:r>
        <w:rPr>
          <w:rFonts w:hint="eastAsia" w:ascii="楷体" w:hAnsi="楷体" w:eastAsia="楷体" w:cs="楷体"/>
          <w:b w:val="0"/>
          <w:bCs w:val="0"/>
          <w:sz w:val="24"/>
          <w:szCs w:val="24"/>
          <w:lang w:val="en-US" w:eastAsia="zh-CN"/>
        </w:rPr>
        <w:t>2024年9月，高雨萱老师主持、陶宇涵老师参与的“基于核心素养的初中语文阅读教学评价体系构建”课题开题。</w:t>
      </w:r>
      <w:r>
        <w:rPr>
          <w:rFonts w:hint="eastAsia" w:ascii="楷体" w:hAnsi="楷体" w:eastAsia="楷体" w:cs="楷体"/>
          <w:sz w:val="24"/>
          <w:lang w:val="en-US" w:eastAsia="zh-CN"/>
        </w:rPr>
        <w:t>2024年9月</w:t>
      </w:r>
      <w:r>
        <w:rPr>
          <w:rFonts w:hint="eastAsia" w:ascii="楷体" w:hAnsi="楷体" w:eastAsia="楷体" w:cs="楷体"/>
          <w:sz w:val="24"/>
        </w:rPr>
        <w:t>进行了开题论证</w:t>
      </w:r>
      <w:r>
        <w:rPr>
          <w:rFonts w:hint="eastAsia" w:ascii="楷体" w:hAnsi="楷体" w:eastAsia="楷体" w:cs="楷体"/>
          <w:sz w:val="24"/>
          <w:lang w:eastAsia="zh-CN"/>
        </w:rPr>
        <w:t>，</w:t>
      </w:r>
      <w:r>
        <w:rPr>
          <w:rFonts w:hint="eastAsia" w:ascii="楷体" w:hAnsi="楷体" w:eastAsia="楷体" w:cs="楷体"/>
          <w:sz w:val="24"/>
          <w:lang w:val="en-US" w:eastAsia="zh-CN"/>
        </w:rPr>
        <w:t>2025年3月进行了中期评估。</w:t>
      </w:r>
      <w:r>
        <w:rPr>
          <w:rFonts w:hint="eastAsia" w:ascii="楷体" w:hAnsi="楷体" w:eastAsia="楷体" w:cs="楷体"/>
          <w:sz w:val="24"/>
        </w:rPr>
        <w:t>研究期间得到了</w:t>
      </w:r>
      <w:r>
        <w:rPr>
          <w:rFonts w:hint="eastAsia" w:ascii="楷体" w:hAnsi="楷体" w:eastAsia="楷体" w:cs="楷体"/>
          <w:sz w:val="24"/>
          <w:lang w:val="en-US" w:eastAsia="zh-CN"/>
        </w:rPr>
        <w:t>语文组专家老师们的指导和帮助</w:t>
      </w:r>
      <w:r>
        <w:rPr>
          <w:rFonts w:hint="eastAsia" w:ascii="楷体" w:hAnsi="楷体" w:eastAsia="楷体" w:cs="楷体"/>
          <w:sz w:val="24"/>
        </w:rPr>
        <w:t>，经过</w:t>
      </w:r>
      <w:r>
        <w:rPr>
          <w:rFonts w:hint="eastAsia" w:ascii="楷体" w:hAnsi="楷体" w:eastAsia="楷体" w:cs="楷体"/>
          <w:sz w:val="24"/>
          <w:lang w:val="en-US" w:eastAsia="zh-CN"/>
        </w:rPr>
        <w:t>一</w:t>
      </w:r>
      <w:r>
        <w:rPr>
          <w:rFonts w:hint="eastAsia" w:ascii="楷体" w:hAnsi="楷体" w:eastAsia="楷体" w:cs="楷体"/>
          <w:sz w:val="24"/>
        </w:rPr>
        <w:t>年的课题研究，已基本完成规定的研究任务。</w:t>
      </w:r>
    </w:p>
    <w:p w14:paraId="59EBF939">
      <w:pPr>
        <w:ind w:firstLine="422" w:firstLineChars="200"/>
        <w:rPr>
          <w:rFonts w:hint="eastAsia"/>
          <w:b/>
          <w:bCs/>
        </w:rPr>
      </w:pPr>
    </w:p>
    <w:p w14:paraId="0B0D0B10">
      <w:pPr>
        <w:rPr>
          <w:b/>
          <w:bCs/>
        </w:rPr>
      </w:pPr>
      <w:r>
        <w:rPr>
          <w:rFonts w:hint="eastAsia"/>
          <w:b/>
          <w:bCs/>
        </w:rPr>
        <w:t>一、研究基本情况</w:t>
      </w:r>
    </w:p>
    <w:p w14:paraId="2E035BB0">
      <w:pPr>
        <w:ind w:firstLine="422" w:firstLineChars="200"/>
        <w:rPr>
          <w:rFonts w:hint="eastAsia"/>
          <w:b/>
          <w:bCs/>
        </w:rPr>
      </w:pPr>
      <w:r>
        <w:rPr>
          <w:rFonts w:hint="eastAsia"/>
          <w:b/>
          <w:bCs/>
        </w:rPr>
        <w:t>（一）意义与价值</w:t>
      </w:r>
    </w:p>
    <w:p w14:paraId="548CBF3E">
      <w:pPr>
        <w:ind w:firstLine="420" w:firstLineChars="200"/>
        <w:rPr>
          <w:rFonts w:hint="eastAsia" w:eastAsiaTheme="minorEastAsia"/>
          <w:b w:val="0"/>
          <w:bCs w:val="0"/>
          <w:lang w:val="en-US" w:eastAsia="zh-CN"/>
        </w:rPr>
      </w:pPr>
      <w:r>
        <w:rPr>
          <w:rFonts w:hint="eastAsia" w:ascii="宋体" w:hAnsi="宋体" w:eastAsia="宋体" w:cs="宋体"/>
          <w:b w:val="0"/>
          <w:bCs w:val="0"/>
          <w:lang w:val="en-US" w:eastAsia="zh-CN"/>
        </w:rPr>
        <w:t>1、</w:t>
      </w:r>
      <w:r>
        <w:rPr>
          <w:rFonts w:hint="eastAsia" w:ascii="宋体" w:hAnsi="宋体"/>
          <w:b w:val="0"/>
          <w:bCs w:val="0"/>
          <w:szCs w:val="21"/>
        </w:rPr>
        <w:t>国内外同一研究领域现状与研究价值</w:t>
      </w:r>
    </w:p>
    <w:p w14:paraId="3BBED472">
      <w:pPr>
        <w:ind w:firstLine="420" w:firstLineChars="200"/>
        <w:rPr>
          <w:rFonts w:hint="eastAsia"/>
        </w:rPr>
      </w:pPr>
      <w:r>
        <w:rPr>
          <w:rFonts w:hint="eastAsia"/>
        </w:rPr>
        <w:t>在当前全球教育变革背景下，基于核心素养的阅读教学评价已成为国内外语文教育研究的重要方向。国际上，PISA等评估项目强调跨学科素养与批判性思维，推动评价方式从知识本位向能力本位转型；国内随着新课标落地，“教—学—评”一体化理念逐步深入，但系统化、可操作的阅读评价体系仍处于探索阶段，尤其在初中语文领域，尚缺乏与不同文体深度适配、贯穿教学全过程的评价工具与方法。</w:t>
      </w:r>
    </w:p>
    <w:p w14:paraId="313C0B47">
      <w:pPr>
        <w:ind w:firstLine="420" w:firstLineChars="200"/>
      </w:pPr>
      <w:r>
        <w:rPr>
          <w:rFonts w:hint="eastAsia"/>
        </w:rPr>
        <w:t>本研究的价值在于通过构建以核心素养为导向的初中语文阅读教学评价体系，能够有效突破传统评价重结果轻过程、重知识轻能力的局限，为一线教学提供科学的评价范式与实践路径，推动语文阅读教学从“教什么”向“学会什么”实质转变，对落实育人目标、提升学生综合素养具有重要的理论意义与实践价值。</w:t>
      </w:r>
    </w:p>
    <w:p w14:paraId="39762C48">
      <w:pPr>
        <w:spacing w:line="360" w:lineRule="auto"/>
        <w:ind w:firstLine="420" w:firstLineChars="200"/>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2、基于学校语文学科课程发展的需要</w:t>
      </w:r>
    </w:p>
    <w:p w14:paraId="5DFA7A6B">
      <w:pPr>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本课题研究基于学校语文学科课程深化发展的内在需要。它旨在构建一套与校本课程相匹配的阅读教学评价体系，将核心素养目标转化为可操作、可评估的教学实践，从而推动课程实施从“内容本位”向“素养本位”转型，为学校语文课程质量的整体提升提供关键支撑和科学抓手。</w:t>
      </w:r>
    </w:p>
    <w:p w14:paraId="1589FE54">
      <w:pPr>
        <w:ind w:firstLine="420" w:firstLineChars="200"/>
        <w:rPr>
          <w:b w:val="0"/>
          <w:bCs w:val="0"/>
        </w:rPr>
      </w:pPr>
      <w:r>
        <w:rPr>
          <w:rFonts w:hint="eastAsia" w:ascii="宋体" w:hAnsi="宋体" w:eastAsia="宋体" w:cs="宋体"/>
          <w:b w:val="0"/>
          <w:bCs w:val="0"/>
          <w:szCs w:val="21"/>
          <w:lang w:val="en-US" w:eastAsia="zh-CN"/>
        </w:rPr>
        <w:t>3、</w:t>
      </w:r>
      <w:r>
        <w:rPr>
          <w:rFonts w:hint="eastAsia"/>
          <w:b w:val="0"/>
          <w:bCs w:val="0"/>
        </w:rPr>
        <w:t>基于教师专业成长的发展</w:t>
      </w:r>
    </w:p>
    <w:p w14:paraId="29675909">
      <w:pPr>
        <w:ind w:firstLine="420" w:firstLineChars="200"/>
      </w:pPr>
      <w:r>
        <w:rPr>
          <w:rFonts w:hint="eastAsia"/>
        </w:rPr>
        <w:t>本课题研究为教师专业成长提供了关键抓手。通过系统化的“教—学—评”一体化实践，引导教师在教学设计、课堂实施与教学反思中深化对核心素养的理解，掌握科学的评价方法。这一过程有效提升了教师的课程执行力、教学研究力和专业判断力，推动教师从“经验型”向“研究型”转变，为构建高素质专业化语文教师队伍奠定坚实基础。</w:t>
      </w:r>
    </w:p>
    <w:p w14:paraId="0C52CA96">
      <w:pPr>
        <w:numPr>
          <w:ilvl w:val="0"/>
          <w:numId w:val="0"/>
        </w:numPr>
        <w:ind w:firstLine="420" w:firstLineChars="200"/>
        <w:jc w:val="left"/>
        <w:rPr>
          <w:rFonts w:hint="eastAsia"/>
          <w:b w:val="0"/>
          <w:bCs w:val="0"/>
        </w:rPr>
      </w:pPr>
      <w:r>
        <w:rPr>
          <w:rFonts w:hint="eastAsia" w:asciiTheme="minorEastAsia" w:hAnsiTheme="minorEastAsia" w:eastAsiaTheme="minorEastAsia" w:cstheme="minorEastAsia"/>
          <w:b w:val="0"/>
          <w:bCs w:val="0"/>
          <w:lang w:val="en-US" w:eastAsia="zh-CN"/>
        </w:rPr>
        <w:t>4、</w:t>
      </w:r>
      <w:r>
        <w:rPr>
          <w:rFonts w:hint="eastAsia"/>
          <w:b w:val="0"/>
          <w:bCs w:val="0"/>
        </w:rPr>
        <w:t>基于</w:t>
      </w:r>
      <w:r>
        <w:rPr>
          <w:rFonts w:hint="eastAsia"/>
          <w:b w:val="0"/>
          <w:bCs w:val="0"/>
          <w:lang w:val="en-US" w:eastAsia="zh-CN"/>
        </w:rPr>
        <w:t>学生语文素养</w:t>
      </w:r>
      <w:r>
        <w:rPr>
          <w:rFonts w:hint="eastAsia"/>
          <w:b w:val="0"/>
          <w:bCs w:val="0"/>
        </w:rPr>
        <w:t>的培养</w:t>
      </w:r>
    </w:p>
    <w:p w14:paraId="644DB9F8">
      <w:pPr>
        <w:numPr>
          <w:ilvl w:val="0"/>
          <w:numId w:val="0"/>
        </w:numPr>
        <w:ind w:firstLine="420"/>
        <w:jc w:val="left"/>
        <w:rPr>
          <w:rFonts w:hint="eastAsia"/>
          <w:b w:val="0"/>
          <w:bCs w:val="0"/>
          <w:lang w:val="en-US" w:eastAsia="zh-CN"/>
        </w:rPr>
      </w:pPr>
      <w:r>
        <w:rPr>
          <w:rFonts w:hint="eastAsia"/>
          <w:b w:val="0"/>
          <w:bCs w:val="0"/>
          <w:lang w:val="en-US" w:eastAsia="zh-CN"/>
        </w:rPr>
        <w:t>本课题研究直指学生语文核心素养的全面发展。通过构建科学的阅读教学评价体系，引导学生在真实的语言运用情境中提升信息整合、审美鉴赏、批判思维和文化理解能力。该研究将推动语文教学从知识传授向素养培育转型，帮助学生形成适应终身发展所需的阅读素养与人文底蕴，真正实现语文学科的育人价值。</w:t>
      </w:r>
    </w:p>
    <w:p w14:paraId="7018C8AC">
      <w:pPr>
        <w:ind w:firstLine="420"/>
        <w:rPr>
          <w:rFonts w:hint="eastAsia"/>
          <w:b/>
          <w:bCs/>
        </w:rPr>
      </w:pPr>
    </w:p>
    <w:p w14:paraId="79DA4E08">
      <w:pPr>
        <w:ind w:firstLine="420"/>
        <w:rPr>
          <w:rFonts w:hint="eastAsia"/>
          <w:b/>
          <w:bCs/>
        </w:rPr>
      </w:pPr>
      <w:r>
        <w:rPr>
          <w:rFonts w:hint="eastAsia"/>
          <w:b/>
          <w:bCs/>
        </w:rPr>
        <w:t>（二）概念</w:t>
      </w:r>
      <w:r>
        <w:rPr>
          <w:rFonts w:hint="eastAsia"/>
          <w:b/>
          <w:bCs/>
          <w:lang w:eastAsia="zh-CN"/>
        </w:rPr>
        <w:t>与</w:t>
      </w:r>
      <w:r>
        <w:rPr>
          <w:rFonts w:hint="eastAsia"/>
          <w:b/>
          <w:bCs/>
        </w:rPr>
        <w:t>界定</w:t>
      </w:r>
    </w:p>
    <w:p w14:paraId="1E62D931">
      <w:pPr>
        <w:numPr>
          <w:ilvl w:val="0"/>
          <w:numId w:val="0"/>
        </w:numPr>
        <w:ind w:firstLine="420"/>
        <w:jc w:val="left"/>
        <w:rPr>
          <w:rFonts w:hint="eastAsia"/>
        </w:rPr>
      </w:pPr>
      <w:r>
        <w:rPr>
          <w:rFonts w:hint="eastAsia"/>
          <w:b w:val="0"/>
          <w:bCs w:val="0"/>
          <w:lang w:val="en-US" w:eastAsia="zh-CN"/>
        </w:rPr>
        <w:t>【</w:t>
      </w:r>
      <w:r>
        <w:rPr>
          <w:rFonts w:hint="eastAsia" w:ascii="宋体" w:hAnsi="宋体"/>
          <w:szCs w:val="21"/>
          <w:lang w:val="en-US" w:eastAsia="zh-CN"/>
        </w:rPr>
        <w:t>核心素养</w:t>
      </w:r>
      <w:r>
        <w:rPr>
          <w:rFonts w:hint="eastAsia"/>
          <w:b w:val="0"/>
          <w:bCs w:val="0"/>
          <w:lang w:val="en-US" w:eastAsia="zh-CN"/>
        </w:rPr>
        <w:t>】</w:t>
      </w:r>
      <w:r>
        <w:rPr>
          <w:rFonts w:hint="eastAsia"/>
        </w:rPr>
        <w:t>指的是个体在适应未来社会发展和实现个人终身发展中，所必须具备的关键能力、必备品格与价值观念的集合。</w:t>
      </w:r>
    </w:p>
    <w:p w14:paraId="7BE70941">
      <w:pPr>
        <w:numPr>
          <w:ilvl w:val="0"/>
          <w:numId w:val="0"/>
        </w:numPr>
        <w:ind w:firstLine="420"/>
        <w:jc w:val="left"/>
        <w:rPr>
          <w:rFonts w:hint="eastAsia"/>
          <w:lang w:eastAsia="zh-CN"/>
        </w:rPr>
      </w:pPr>
      <w:r>
        <w:rPr>
          <w:rFonts w:hint="eastAsia"/>
          <w:lang w:eastAsia="zh-CN"/>
        </w:rPr>
        <w:t>【</w:t>
      </w:r>
      <w:r>
        <w:rPr>
          <w:rFonts w:hint="eastAsia"/>
        </w:rPr>
        <w:t>语文</w:t>
      </w:r>
      <w:r>
        <w:rPr>
          <w:rFonts w:hint="eastAsia"/>
          <w:lang w:val="en-US" w:eastAsia="zh-CN"/>
        </w:rPr>
        <w:t>学科</w:t>
      </w:r>
      <w:r>
        <w:rPr>
          <w:rFonts w:hint="eastAsia"/>
        </w:rPr>
        <w:t>关键能力</w:t>
      </w:r>
      <w:r>
        <w:rPr>
          <w:rFonts w:hint="eastAsia"/>
          <w:lang w:eastAsia="zh-CN"/>
        </w:rPr>
        <w:t>】</w:t>
      </w:r>
      <w:r>
        <w:rPr>
          <w:rFonts w:hint="eastAsia"/>
        </w:rPr>
        <w:t>语文核心素养是学生通过语文学习形成的综合素养，其核心在于语言、思维、审美与文化四个维度的深度融合。它不仅要求掌握语言文字运用能力，更注重思维品质提升、审美鉴赏培养和文化传承理解，最终内化为适应实际生活需要的必备品格与关键能力。</w:t>
      </w:r>
    </w:p>
    <w:p w14:paraId="52F42B2A">
      <w:pPr>
        <w:numPr>
          <w:ilvl w:val="0"/>
          <w:numId w:val="0"/>
        </w:numPr>
        <w:ind w:firstLine="420"/>
        <w:jc w:val="left"/>
        <w:rPr>
          <w:rFonts w:hint="eastAsia" w:ascii="宋体" w:hAnsi="宋体"/>
          <w:szCs w:val="21"/>
          <w:lang w:eastAsia="zh-CN"/>
        </w:rPr>
      </w:pPr>
      <w:r>
        <w:rPr>
          <w:rFonts w:hint="eastAsia"/>
          <w:lang w:eastAsia="zh-CN"/>
        </w:rPr>
        <w:t>【</w:t>
      </w:r>
      <w:r>
        <w:rPr>
          <w:rFonts w:hint="eastAsia"/>
        </w:rPr>
        <w:t>阅读教学</w:t>
      </w:r>
      <w:r>
        <w:rPr>
          <w:rFonts w:hint="eastAsia"/>
          <w:lang w:val="en-US" w:eastAsia="zh-CN"/>
        </w:rPr>
        <w:t>评价体系】</w:t>
      </w:r>
      <w:r>
        <w:rPr>
          <w:rFonts w:hint="eastAsia" w:ascii="宋体" w:hAnsi="宋体"/>
          <w:szCs w:val="21"/>
        </w:rPr>
        <w:t>阅读教学评价体系是为全面评估学生阅读素养与教师教学效果而建立的系统性框架。它融合多元评价方法，涵盖阅读能力、方法习惯及思维品质等多维内容，通过教师、学生等多主体参与，实现教学诊断与反馈改进的闭环，最终服务于学生阅读素养的持续发展。</w:t>
      </w:r>
    </w:p>
    <w:p w14:paraId="05FB092C">
      <w:pPr>
        <w:spacing w:line="360" w:lineRule="exact"/>
        <w:ind w:right="-107" w:rightChars="-51" w:firstLine="420" w:firstLineChars="200"/>
        <w:jc w:val="left"/>
        <w:rPr>
          <w:rFonts w:hint="eastAsia" w:ascii="宋体" w:hAnsi="宋体"/>
          <w:bCs/>
          <w:szCs w:val="21"/>
          <w:lang w:val="en-US" w:eastAsia="zh-CN"/>
        </w:rPr>
      </w:pPr>
      <w:r>
        <w:rPr>
          <w:rFonts w:hint="eastAsia"/>
        </w:rPr>
        <w:t>本研究的</w:t>
      </w:r>
      <w:r>
        <w:rPr>
          <w:rFonts w:hint="eastAsia"/>
          <w:b/>
          <w:bCs/>
          <w:lang w:eastAsia="zh-CN"/>
        </w:rPr>
        <w:t>“</w:t>
      </w:r>
      <w:r>
        <w:rPr>
          <w:rFonts w:hint="eastAsia"/>
          <w:b/>
          <w:bCs/>
          <w:lang w:val="en-US" w:eastAsia="zh-CN"/>
        </w:rPr>
        <w:t>基于核心素养的初中语文阅读教学评价体系构建</w:t>
      </w:r>
      <w:r>
        <w:rPr>
          <w:rFonts w:hint="eastAsia"/>
          <w:b/>
          <w:bCs/>
          <w:lang w:eastAsia="zh-CN"/>
        </w:rPr>
        <w:t>”</w:t>
      </w:r>
      <w:r>
        <w:rPr>
          <w:rFonts w:hint="eastAsia"/>
        </w:rPr>
        <w:t>是以语言、思维、审美、文化四大维度为核心，通过多元化评价方式，全面考察学生在阅读过程中的能力表现与素养发展，建立"教—学—评"良性循环机制，最终实现以评价促发展的育人目标。</w:t>
      </w:r>
    </w:p>
    <w:p w14:paraId="58BB475A">
      <w:pPr>
        <w:ind w:firstLine="422" w:firstLineChars="200"/>
        <w:rPr>
          <w:rFonts w:hint="eastAsia"/>
          <w:b/>
          <w:bCs/>
        </w:rPr>
      </w:pPr>
    </w:p>
    <w:p w14:paraId="7476430A">
      <w:pPr>
        <w:ind w:firstLine="422" w:firstLineChars="200"/>
        <w:rPr>
          <w:b/>
          <w:bCs/>
        </w:rPr>
      </w:pPr>
      <w:r>
        <w:rPr>
          <w:rFonts w:hint="eastAsia"/>
          <w:b/>
          <w:bCs/>
        </w:rPr>
        <w:t>（三）目标与内容</w:t>
      </w:r>
    </w:p>
    <w:p w14:paraId="5E1CF718">
      <w:pPr>
        <w:spacing w:line="360" w:lineRule="exact"/>
        <w:ind w:right="-107" w:rightChars="-51" w:firstLine="422" w:firstLineChars="200"/>
        <w:jc w:val="left"/>
        <w:rPr>
          <w:rFonts w:hint="eastAsia"/>
          <w:b/>
          <w:bCs/>
        </w:rPr>
      </w:pPr>
      <w:r>
        <w:rPr>
          <w:rFonts w:hint="eastAsia"/>
          <w:b/>
          <w:bCs/>
        </w:rPr>
        <w:t>研究目标：</w:t>
      </w:r>
    </w:p>
    <w:p w14:paraId="1BDBF077">
      <w:pPr>
        <w:spacing w:line="360" w:lineRule="exact"/>
        <w:ind w:right="-107" w:rightChars="-51"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构建评价指标体系：首先，确立一套全面覆盖核心素养各个维度的评价指标体系。这一体系应包括语言建构与运用、思维发展与提升、审美鉴赏与创造、文化传承与理解等方面的具体指标，确保能够全面反映学生的语文阅读能力及素养发展状况。</w:t>
      </w:r>
    </w:p>
    <w:p w14:paraId="6F6C5265">
      <w:pPr>
        <w:spacing w:line="360" w:lineRule="exact"/>
        <w:ind w:right="-107" w:rightChars="-51"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开发评价工具与方法：其次，设计并开发适用于初中阶段语文阅读教学的评价工具和方法。这些工具应具备可操作性，能够有效地收集学生在课堂内外的各种表现数据，并通过定性和定量分析相结合的方式，客观评价学生的实际水平。</w:t>
      </w:r>
    </w:p>
    <w:p w14:paraId="00F6B28A">
      <w:pPr>
        <w:spacing w:line="360" w:lineRule="exact"/>
        <w:ind w:right="-107" w:rightChars="-51"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实施与调整评价方案：第三，将构建好的评价体系应用于实际教学环境中，通过试点实验验证其有效性和可行性。根据实验过程中收集到的数据和反馈，不断调整和完善评价方案，确保其能够满足不同地区、不同学校的具体需求。</w:t>
      </w:r>
    </w:p>
    <w:p w14:paraId="7BCD0213">
      <w:pPr>
        <w:spacing w:line="360" w:lineRule="exact"/>
        <w:ind w:right="-107" w:rightChars="-51"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推广与应用研究成果：最后，总结研究成果，形成一套成熟的基于核心素养的初中语文阅读教学评价体系，并通过教师培训、研讨会等形式推广至更广泛的教育领域。</w:t>
      </w:r>
    </w:p>
    <w:p w14:paraId="21B53F9B">
      <w:pPr>
        <w:ind w:firstLine="422" w:firstLineChars="200"/>
        <w:rPr>
          <w:rFonts w:hint="eastAsia" w:ascii="宋体" w:hAnsi="宋体" w:eastAsia="宋体" w:cs="宋体"/>
          <w:b/>
          <w:bCs/>
        </w:rPr>
      </w:pPr>
      <w:r>
        <w:rPr>
          <w:rFonts w:hint="eastAsia" w:ascii="宋体" w:hAnsi="宋体" w:eastAsia="宋体" w:cs="宋体"/>
          <w:b/>
          <w:bCs/>
        </w:rPr>
        <w:t>研究内容：</w:t>
      </w:r>
    </w:p>
    <w:p w14:paraId="1E0CCA01">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、核心素养在初中语文阅读教学中的理论基础研究</w:t>
      </w:r>
    </w:p>
    <w:p w14:paraId="605B4212">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梳理核心素养内涵：深入研究核心素养的概念，明确其在语文教育中的具体表现形式。包括但不限于语言建构与运用、思维发展与提升、审美鉴赏与创造、文化传承与理解等内容，探讨这些要素如何相互作用，共同促进学生全面发展。</w:t>
      </w:r>
    </w:p>
    <w:p w14:paraId="0F90670C">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探索核心素养与语文阅读的关系：结合实际教学案例，探讨核心素养如何通过语文阅读教学得以培养和发展，特别是在语言表达、思维训练等方面的具体体现，为进一步研究奠定坚实的基础。</w:t>
      </w:r>
    </w:p>
    <w:p w14:paraId="0B915BEF">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基于核心素养的初中语文阅读教学评价指标体系构建</w:t>
      </w:r>
    </w:p>
    <w:p w14:paraId="5A40E449">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确定评价维度：根据第一部分的研究成果，确定评价体系的基本维度，涵盖学生在语文阅读方面的知识掌握、能力发展、情感态度以及价值观等多个层面。</w:t>
      </w:r>
    </w:p>
    <w:p w14:paraId="57EC6042">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细化评价指标：针对每个维度，细化出具体的评价指标，例如在语言建构与运用维度下，可以设置“准确理解文本意思”、“恰当运用修辞手法”等具体指标；在思维发展维度下，则可设置“能够提出有见地的问题”、“善于从多个角度分析问题”等。</w:t>
      </w:r>
    </w:p>
    <w:p w14:paraId="095F227D">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设计评价标准：为每一个指标制定相应的评价标准，明确不同等级的表现形式，以便于教师在实际操作中能够准确把握评价尺度，确保评价结果的公正性和有效性。</w:t>
      </w:r>
    </w:p>
    <w:p w14:paraId="5C53804F">
      <w:pPr>
        <w:spacing w:line="360" w:lineRule="exact"/>
        <w:ind w:right="-107" w:rightChars="-51"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、基于核心素养的初中语文阅读教学评价工具与方法开发</w:t>
      </w:r>
    </w:p>
    <w:p w14:paraId="7E26E1C8">
      <w:pPr>
        <w:spacing w:line="360" w:lineRule="exact"/>
        <w:ind w:right="-107" w:rightChars="-51"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开发多元化评价工具：结合现代信息技术手段，开发包括问卷调查、观察记录表、学生作品集等多种形式的评价工具，确保能够全方位、多角度地收集学生的学习数据。</w:t>
      </w:r>
    </w:p>
    <w:p w14:paraId="618306E3">
      <w:pPr>
        <w:spacing w:line="360" w:lineRule="exact"/>
        <w:ind w:right="-107" w:rightChars="-51"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制定科学的评价流程：设计一套科学合理的评价流程，包括数据收集、数据分析、结果反馈等环节，确保整个评价过程有序进行，能够及时发现问题并做出调整。</w:t>
      </w:r>
    </w:p>
    <w:p w14:paraId="49F0F11D">
      <w:pPr>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建立动态评价机制：引入形成性评价理念，建立动态评价机制，定期对学生的学习情况进行跟踪评估，及时发现其成长变化，为教师提供即时反馈，促进个性化教学的实施。</w:t>
      </w:r>
    </w:p>
    <w:p w14:paraId="3F4AB9F4">
      <w:pPr>
        <w:ind w:firstLine="420" w:firstLineChars="200"/>
        <w:rPr>
          <w:rFonts w:hint="eastAsia" w:ascii="宋体" w:hAnsi="宋体"/>
          <w:szCs w:val="21"/>
        </w:rPr>
      </w:pPr>
    </w:p>
    <w:p w14:paraId="6EB014B2">
      <w:pPr>
        <w:rPr>
          <w:b/>
          <w:bCs/>
        </w:rPr>
      </w:pPr>
      <w:r>
        <w:rPr>
          <w:rFonts w:hint="eastAsia"/>
          <w:b/>
          <w:bCs/>
        </w:rPr>
        <w:t>二、研究过程与方法</w:t>
      </w:r>
    </w:p>
    <w:p w14:paraId="17E63656">
      <w:pPr>
        <w:ind w:firstLine="422" w:firstLineChars="200"/>
        <w:rPr>
          <w:rFonts w:hint="eastAsia"/>
          <w:b/>
          <w:bCs/>
        </w:rPr>
      </w:pPr>
      <w:r>
        <w:rPr>
          <w:rFonts w:hint="eastAsia"/>
          <w:b/>
          <w:bCs/>
        </w:rPr>
        <w:t>（一）研究历程的概述</w:t>
      </w:r>
    </w:p>
    <w:p w14:paraId="0C86A693">
      <w:pPr>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1、第一阶段</w:t>
      </w:r>
      <w:r>
        <w:rPr>
          <w:rFonts w:hint="eastAsia" w:ascii="宋体" w:hAnsi="宋体" w:eastAsia="宋体" w:cs="宋体"/>
          <w:b w:val="0"/>
          <w:bCs w:val="0"/>
        </w:rPr>
        <w:t>——启动课题（20</w:t>
      </w:r>
      <w:r>
        <w:rPr>
          <w:rFonts w:hint="eastAsia" w:ascii="宋体" w:hAnsi="宋体" w:eastAsia="宋体" w:cs="宋体"/>
          <w:b w:val="0"/>
          <w:bCs w:val="0"/>
          <w:lang w:val="en-US" w:eastAsia="zh-CN"/>
        </w:rPr>
        <w:t>24</w:t>
      </w:r>
      <w:r>
        <w:rPr>
          <w:rFonts w:hint="eastAsia" w:ascii="宋体" w:hAnsi="宋体" w:eastAsia="宋体" w:cs="宋体"/>
          <w:b w:val="0"/>
          <w:bCs w:val="0"/>
        </w:rPr>
        <w:t>年</w:t>
      </w:r>
      <w:r>
        <w:rPr>
          <w:rFonts w:hint="eastAsia" w:ascii="宋体" w:hAnsi="宋体" w:eastAsia="宋体" w:cs="宋体"/>
          <w:b w:val="0"/>
          <w:bCs w:val="0"/>
          <w:lang w:val="en-US" w:eastAsia="zh-CN"/>
        </w:rPr>
        <w:t>9</w:t>
      </w:r>
      <w:r>
        <w:rPr>
          <w:rFonts w:hint="eastAsia" w:ascii="宋体" w:hAnsi="宋体" w:eastAsia="宋体" w:cs="宋体"/>
          <w:b w:val="0"/>
          <w:bCs w:val="0"/>
        </w:rPr>
        <w:t>月~20</w:t>
      </w:r>
      <w:r>
        <w:rPr>
          <w:rFonts w:hint="eastAsia" w:ascii="宋体" w:hAnsi="宋体" w:eastAsia="宋体" w:cs="宋体"/>
          <w:b w:val="0"/>
          <w:bCs w:val="0"/>
          <w:lang w:val="en-US" w:eastAsia="zh-CN"/>
        </w:rPr>
        <w:t>24</w:t>
      </w:r>
      <w:r>
        <w:rPr>
          <w:rFonts w:hint="eastAsia" w:ascii="宋体" w:hAnsi="宋体" w:eastAsia="宋体" w:cs="宋体"/>
          <w:b w:val="0"/>
          <w:bCs w:val="0"/>
        </w:rPr>
        <w:t>月</w:t>
      </w:r>
      <w:r>
        <w:rPr>
          <w:rFonts w:hint="eastAsia" w:ascii="宋体" w:hAnsi="宋体" w:eastAsia="宋体" w:cs="宋体"/>
          <w:b w:val="0"/>
          <w:bCs w:val="0"/>
          <w:lang w:val="en-US" w:eastAsia="zh-CN"/>
        </w:rPr>
        <w:t>10</w:t>
      </w:r>
      <w:r>
        <w:rPr>
          <w:rFonts w:hint="eastAsia" w:ascii="宋体" w:hAnsi="宋体" w:eastAsia="宋体" w:cs="宋体"/>
          <w:b w:val="0"/>
          <w:bCs w:val="0"/>
        </w:rPr>
        <w:t>月）</w:t>
      </w:r>
    </w:p>
    <w:p w14:paraId="2258FF38">
      <w:pPr>
        <w:ind w:firstLine="420" w:firstLineChars="200"/>
        <w:rPr>
          <w:rFonts w:hint="eastAsia" w:ascii="宋体" w:hAnsi="宋体" w:eastAsia="宋体" w:cs="宋体"/>
        </w:rPr>
      </w:pPr>
      <w:r>
        <w:rPr>
          <w:rFonts w:hint="eastAsia" w:ascii="宋体" w:hAnsi="宋体" w:eastAsia="宋体" w:cs="宋体"/>
        </w:rPr>
        <w:t>（1）确定成员，成立课题组。</w:t>
      </w:r>
    </w:p>
    <w:p w14:paraId="1232CAC5">
      <w:pPr>
        <w:ind w:firstLine="420" w:firstLineChars="200"/>
        <w:rPr>
          <w:rFonts w:hint="eastAsia" w:ascii="宋体" w:hAnsi="宋体" w:eastAsia="宋体" w:cs="宋体"/>
        </w:rPr>
      </w:pPr>
      <w:r>
        <w:rPr>
          <w:rFonts w:hint="eastAsia" w:ascii="宋体" w:hAnsi="宋体" w:eastAsia="宋体" w:cs="宋体"/>
        </w:rPr>
        <w:t>（2）理论学习，提升自我。</w:t>
      </w:r>
    </w:p>
    <w:p w14:paraId="6852E689">
      <w:pPr>
        <w:ind w:firstLine="420" w:firstLineChars="200"/>
        <w:rPr>
          <w:rFonts w:hint="eastAsia" w:ascii="宋体" w:hAnsi="宋体" w:eastAsia="宋体" w:cs="宋体"/>
        </w:rPr>
      </w:pPr>
      <w:r>
        <w:rPr>
          <w:rFonts w:hint="eastAsia" w:ascii="宋体" w:hAnsi="宋体" w:eastAsia="宋体" w:cs="宋体"/>
        </w:rPr>
        <w:t>（3）完成课题研究方案，确定目标。</w:t>
      </w:r>
    </w:p>
    <w:p w14:paraId="55F82F7C">
      <w:pPr>
        <w:numPr>
          <w:ilvl w:val="0"/>
          <w:numId w:val="0"/>
        </w:numPr>
        <w:spacing w:line="360" w:lineRule="exact"/>
        <w:ind w:right="-107" w:rightChars="-51" w:firstLine="420" w:firstLineChars="200"/>
        <w:jc w:val="left"/>
        <w:rPr>
          <w:rFonts w:hint="eastAsia" w:ascii="宋体" w:hAnsi="宋体" w:eastAsia="宋体" w:cs="宋体"/>
        </w:rPr>
      </w:pPr>
      <w:r>
        <w:rPr>
          <w:rFonts w:hint="eastAsia" w:ascii="宋体" w:hAnsi="宋体" w:eastAsia="宋体" w:cs="宋体"/>
        </w:rPr>
        <w:t>（4）建立 “</w:t>
      </w:r>
      <w:r>
        <w:rPr>
          <w:rFonts w:hint="eastAsia" w:ascii="宋体" w:hAnsi="宋体" w:eastAsia="宋体" w:cs="宋体"/>
          <w:lang w:val="en-US" w:eastAsia="zh-CN"/>
        </w:rPr>
        <w:t>初中语文阅读教学</w:t>
      </w:r>
      <w:r>
        <w:rPr>
          <w:rFonts w:hint="eastAsia" w:ascii="宋体" w:hAnsi="宋体" w:eastAsia="宋体" w:cs="宋体"/>
        </w:rPr>
        <w:t>”资源中心，收集各类可利用材料。</w:t>
      </w:r>
    </w:p>
    <w:p w14:paraId="7FD4CA1D">
      <w:pPr>
        <w:numPr>
          <w:ilvl w:val="0"/>
          <w:numId w:val="0"/>
        </w:numPr>
        <w:spacing w:line="360" w:lineRule="exact"/>
        <w:ind w:right="-107" w:rightChars="-51" w:firstLine="420" w:firstLineChars="200"/>
        <w:jc w:val="left"/>
        <w:rPr>
          <w:rFonts w:hint="eastAsia" w:ascii="宋体" w:hAnsi="宋体" w:eastAsia="宋体" w:cs="宋体"/>
          <w:b w:val="0"/>
          <w:bCs w:val="0"/>
        </w:rPr>
      </w:pPr>
      <w:r>
        <w:rPr>
          <w:rFonts w:hint="eastAsia" w:ascii="宋体" w:hAnsi="宋体" w:eastAsia="宋体" w:cs="宋体"/>
          <w:b w:val="0"/>
          <w:bCs w:val="0"/>
          <w:lang w:val="en-US" w:eastAsia="zh-CN"/>
        </w:rPr>
        <w:t>2.</w:t>
      </w:r>
      <w:r>
        <w:rPr>
          <w:rFonts w:hint="eastAsia" w:ascii="宋体" w:hAnsi="宋体" w:eastAsia="宋体" w:cs="宋体"/>
          <w:b w:val="0"/>
          <w:bCs w:val="0"/>
        </w:rPr>
        <w:t>第二阶段——实施课题（20</w:t>
      </w:r>
      <w:r>
        <w:rPr>
          <w:rFonts w:hint="eastAsia" w:ascii="宋体" w:hAnsi="宋体" w:eastAsia="宋体" w:cs="宋体"/>
          <w:b w:val="0"/>
          <w:bCs w:val="0"/>
          <w:lang w:val="en-US" w:eastAsia="zh-CN"/>
        </w:rPr>
        <w:t>24</w:t>
      </w:r>
      <w:r>
        <w:rPr>
          <w:rFonts w:hint="eastAsia" w:ascii="宋体" w:hAnsi="宋体" w:eastAsia="宋体" w:cs="宋体"/>
          <w:b w:val="0"/>
          <w:bCs w:val="0"/>
        </w:rPr>
        <w:t>年1</w:t>
      </w:r>
      <w:r>
        <w:rPr>
          <w:rFonts w:hint="eastAsia" w:ascii="宋体" w:hAnsi="宋体" w:eastAsia="宋体" w:cs="宋体"/>
          <w:b w:val="0"/>
          <w:bCs w:val="0"/>
          <w:lang w:val="en-US" w:eastAsia="zh-CN"/>
        </w:rPr>
        <w:t>0</w:t>
      </w:r>
      <w:r>
        <w:rPr>
          <w:rFonts w:hint="eastAsia" w:ascii="宋体" w:hAnsi="宋体" w:eastAsia="宋体" w:cs="宋体"/>
          <w:b w:val="0"/>
          <w:bCs w:val="0"/>
        </w:rPr>
        <w:t>月~20</w:t>
      </w:r>
      <w:r>
        <w:rPr>
          <w:rFonts w:hint="eastAsia" w:ascii="宋体" w:hAnsi="宋体" w:eastAsia="宋体" w:cs="宋体"/>
          <w:b w:val="0"/>
          <w:bCs w:val="0"/>
          <w:lang w:val="en-US" w:eastAsia="zh-CN"/>
        </w:rPr>
        <w:t>25</w:t>
      </w:r>
      <w:r>
        <w:rPr>
          <w:rFonts w:hint="eastAsia" w:ascii="宋体" w:hAnsi="宋体" w:eastAsia="宋体" w:cs="宋体"/>
          <w:b w:val="0"/>
          <w:bCs w:val="0"/>
        </w:rPr>
        <w:t>年</w:t>
      </w:r>
      <w:r>
        <w:rPr>
          <w:rFonts w:hint="eastAsia" w:ascii="宋体" w:hAnsi="宋体" w:eastAsia="宋体" w:cs="宋体"/>
          <w:b w:val="0"/>
          <w:bCs w:val="0"/>
          <w:lang w:val="en-US" w:eastAsia="zh-CN"/>
        </w:rPr>
        <w:t>3</w:t>
      </w:r>
      <w:r>
        <w:rPr>
          <w:rFonts w:hint="eastAsia" w:ascii="宋体" w:hAnsi="宋体" w:eastAsia="宋体" w:cs="宋体"/>
          <w:b w:val="0"/>
          <w:bCs w:val="0"/>
        </w:rPr>
        <w:t>月）</w:t>
      </w:r>
    </w:p>
    <w:p w14:paraId="312F6B79">
      <w:pPr>
        <w:ind w:firstLine="420" w:firstLineChars="200"/>
        <w:rPr>
          <w:rFonts w:hint="eastAsia" w:ascii="宋体" w:hAnsi="宋体" w:eastAsia="宋体" w:cs="宋体"/>
          <w:b w:val="0"/>
          <w:bCs w:val="0"/>
        </w:rPr>
      </w:pPr>
      <w:r>
        <w:rPr>
          <w:rFonts w:hint="eastAsia" w:ascii="宋体" w:hAnsi="宋体" w:eastAsia="宋体" w:cs="宋体"/>
          <w:b w:val="0"/>
          <w:bCs w:val="0"/>
        </w:rPr>
        <w:t>（1）立足</w:t>
      </w:r>
      <w:r>
        <w:rPr>
          <w:rFonts w:hint="eastAsia" w:ascii="宋体" w:hAnsi="宋体" w:eastAsia="宋体" w:cs="宋体"/>
          <w:b w:val="0"/>
          <w:bCs w:val="0"/>
          <w:lang w:val="en-US" w:eastAsia="zh-CN"/>
        </w:rPr>
        <w:t>学</w:t>
      </w:r>
      <w:r>
        <w:rPr>
          <w:rFonts w:hint="eastAsia" w:ascii="宋体" w:hAnsi="宋体" w:eastAsia="宋体" w:cs="宋体"/>
          <w:b w:val="0"/>
          <w:bCs w:val="0"/>
        </w:rPr>
        <w:t>情，制订每学期研究计划，根据计划开展</w:t>
      </w:r>
      <w:r>
        <w:rPr>
          <w:rFonts w:hint="eastAsia" w:ascii="宋体" w:hAnsi="宋体" w:eastAsia="宋体" w:cs="宋体"/>
          <w:b w:val="0"/>
          <w:bCs w:val="0"/>
          <w:lang w:val="en-US" w:eastAsia="zh-CN"/>
        </w:rPr>
        <w:t>各类关于语文阅读评价体系建立的</w:t>
      </w:r>
      <w:r>
        <w:rPr>
          <w:rFonts w:hint="eastAsia" w:ascii="宋体" w:hAnsi="宋体" w:eastAsia="宋体" w:cs="宋体"/>
          <w:b w:val="0"/>
          <w:bCs w:val="0"/>
        </w:rPr>
        <w:t>实践活动。</w:t>
      </w:r>
    </w:p>
    <w:p w14:paraId="511DA014">
      <w:pPr>
        <w:ind w:firstLine="420" w:firstLineChars="200"/>
        <w:rPr>
          <w:rFonts w:hint="eastAsia" w:ascii="宋体" w:hAnsi="宋体" w:eastAsia="宋体" w:cs="宋体"/>
          <w:b w:val="0"/>
          <w:bCs w:val="0"/>
        </w:rPr>
      </w:pPr>
      <w:r>
        <w:rPr>
          <w:rFonts w:hint="eastAsia" w:ascii="宋体" w:hAnsi="宋体" w:eastAsia="宋体" w:cs="宋体"/>
          <w:b w:val="0"/>
          <w:bCs w:val="0"/>
        </w:rPr>
        <w:t>（2）边研究边调整行动方案。</w:t>
      </w:r>
    </w:p>
    <w:p w14:paraId="1DDBE260">
      <w:pPr>
        <w:ind w:firstLine="420" w:firstLineChars="200"/>
        <w:rPr>
          <w:rFonts w:hint="eastAsia" w:ascii="宋体" w:hAnsi="宋体" w:eastAsia="宋体" w:cs="宋体"/>
          <w:b w:val="0"/>
          <w:bCs w:val="0"/>
          <w:lang w:eastAsia="zh-CN"/>
        </w:rPr>
      </w:pPr>
      <w:r>
        <w:rPr>
          <w:rFonts w:hint="eastAsia" w:ascii="宋体" w:hAnsi="宋体" w:eastAsia="宋体" w:cs="宋体"/>
          <w:b w:val="0"/>
          <w:bCs w:val="0"/>
        </w:rPr>
        <w:t>（3）基于</w:t>
      </w:r>
      <w:r>
        <w:rPr>
          <w:rFonts w:hint="eastAsia" w:ascii="宋体" w:hAnsi="宋体" w:eastAsia="宋体" w:cs="宋体"/>
          <w:b w:val="0"/>
          <w:bCs w:val="0"/>
          <w:lang w:val="en-US" w:eastAsia="zh-CN"/>
        </w:rPr>
        <w:t>学生</w:t>
      </w:r>
      <w:r>
        <w:rPr>
          <w:rFonts w:hint="eastAsia" w:ascii="宋体" w:hAnsi="宋体" w:eastAsia="宋体" w:cs="宋体"/>
          <w:b w:val="0"/>
          <w:bCs w:val="0"/>
        </w:rPr>
        <w:t>，精心设计</w:t>
      </w:r>
      <w:r>
        <w:rPr>
          <w:rFonts w:hint="eastAsia" w:ascii="宋体" w:hAnsi="宋体" w:eastAsia="宋体" w:cs="宋体"/>
          <w:b w:val="0"/>
          <w:bCs w:val="0"/>
          <w:lang w:val="en-US" w:eastAsia="zh-CN"/>
        </w:rPr>
        <w:t>提升语文阅读能力的</w:t>
      </w:r>
      <w:r>
        <w:rPr>
          <w:rFonts w:hint="eastAsia" w:ascii="宋体" w:hAnsi="宋体" w:eastAsia="宋体" w:cs="宋体"/>
          <w:b w:val="0"/>
          <w:bCs w:val="0"/>
        </w:rPr>
        <w:t>活动</w:t>
      </w:r>
      <w:r>
        <w:rPr>
          <w:rFonts w:hint="eastAsia" w:ascii="宋体" w:hAnsi="宋体" w:eastAsia="宋体" w:cs="宋体"/>
          <w:b w:val="0"/>
          <w:bCs w:val="0"/>
          <w:lang w:eastAsia="zh-CN"/>
        </w:rPr>
        <w:t>。</w:t>
      </w:r>
    </w:p>
    <w:p w14:paraId="50BC8975">
      <w:pPr>
        <w:numPr>
          <w:ilvl w:val="0"/>
          <w:numId w:val="0"/>
        </w:numPr>
        <w:spacing w:line="360" w:lineRule="exact"/>
        <w:ind w:right="-107" w:rightChars="-51" w:firstLine="420" w:firstLineChars="200"/>
        <w:jc w:val="left"/>
        <w:rPr>
          <w:rFonts w:hint="eastAsia" w:ascii="宋体" w:hAnsi="宋体" w:eastAsia="宋体" w:cs="宋体"/>
          <w:b w:val="0"/>
          <w:bCs w:val="0"/>
        </w:rPr>
      </w:pPr>
      <w:r>
        <w:rPr>
          <w:rFonts w:hint="eastAsia" w:ascii="宋体" w:hAnsi="宋体" w:eastAsia="宋体" w:cs="宋体"/>
          <w:b w:val="0"/>
          <w:bCs w:val="0"/>
        </w:rPr>
        <w:t>（4）做好研究资料的归类及整理工作，完成课题中期评估。</w:t>
      </w:r>
    </w:p>
    <w:p w14:paraId="279D0424">
      <w:pPr>
        <w:numPr>
          <w:ilvl w:val="0"/>
          <w:numId w:val="0"/>
        </w:numPr>
        <w:spacing w:line="360" w:lineRule="exact"/>
        <w:ind w:right="-107" w:rightChars="-51" w:firstLine="420" w:firstLineChars="200"/>
        <w:jc w:val="left"/>
        <w:rPr>
          <w:rFonts w:hint="eastAsia" w:ascii="宋体" w:hAnsi="宋体" w:eastAsia="宋体" w:cs="宋体"/>
          <w:b w:val="0"/>
          <w:bCs w:val="0"/>
        </w:rPr>
      </w:pPr>
      <w:r>
        <w:rPr>
          <w:rFonts w:hint="eastAsia" w:ascii="宋体" w:hAnsi="宋体" w:eastAsia="宋体" w:cs="宋体"/>
          <w:b w:val="0"/>
          <w:bCs w:val="0"/>
        </w:rPr>
        <w:t>3.第三阶段——推进课题（20</w:t>
      </w:r>
      <w:r>
        <w:rPr>
          <w:rFonts w:hint="eastAsia" w:ascii="宋体" w:hAnsi="宋体" w:eastAsia="宋体" w:cs="宋体"/>
          <w:b w:val="0"/>
          <w:bCs w:val="0"/>
          <w:lang w:val="en-US" w:eastAsia="zh-CN"/>
        </w:rPr>
        <w:t>25</w:t>
      </w:r>
      <w:r>
        <w:rPr>
          <w:rFonts w:hint="eastAsia" w:ascii="宋体" w:hAnsi="宋体" w:eastAsia="宋体" w:cs="宋体"/>
          <w:b w:val="0"/>
          <w:bCs w:val="0"/>
        </w:rPr>
        <w:t>年</w:t>
      </w:r>
      <w:r>
        <w:rPr>
          <w:rFonts w:hint="eastAsia" w:ascii="宋体" w:hAnsi="宋体" w:eastAsia="宋体" w:cs="宋体"/>
          <w:b w:val="0"/>
          <w:bCs w:val="0"/>
          <w:lang w:val="en-US" w:eastAsia="zh-CN"/>
        </w:rPr>
        <w:t>4</w:t>
      </w:r>
      <w:r>
        <w:rPr>
          <w:rFonts w:hint="eastAsia" w:ascii="宋体" w:hAnsi="宋体" w:eastAsia="宋体" w:cs="宋体"/>
          <w:b w:val="0"/>
          <w:bCs w:val="0"/>
        </w:rPr>
        <w:t>月~20</w:t>
      </w:r>
      <w:r>
        <w:rPr>
          <w:rFonts w:hint="eastAsia" w:ascii="宋体" w:hAnsi="宋体" w:eastAsia="宋体" w:cs="宋体"/>
          <w:b w:val="0"/>
          <w:bCs w:val="0"/>
          <w:lang w:val="en-US" w:eastAsia="zh-CN"/>
        </w:rPr>
        <w:t>25</w:t>
      </w:r>
      <w:r>
        <w:rPr>
          <w:rFonts w:hint="eastAsia" w:ascii="宋体" w:hAnsi="宋体" w:eastAsia="宋体" w:cs="宋体"/>
          <w:b w:val="0"/>
          <w:bCs w:val="0"/>
        </w:rPr>
        <w:t>年</w:t>
      </w:r>
      <w:r>
        <w:rPr>
          <w:rFonts w:hint="eastAsia" w:ascii="宋体" w:hAnsi="宋体" w:eastAsia="宋体" w:cs="宋体"/>
          <w:b w:val="0"/>
          <w:bCs w:val="0"/>
          <w:lang w:val="en-US" w:eastAsia="zh-CN"/>
        </w:rPr>
        <w:t>9</w:t>
      </w:r>
      <w:r>
        <w:rPr>
          <w:rFonts w:hint="eastAsia" w:ascii="宋体" w:hAnsi="宋体" w:eastAsia="宋体" w:cs="宋体"/>
          <w:b w:val="0"/>
          <w:bCs w:val="0"/>
        </w:rPr>
        <w:t>月）</w:t>
      </w:r>
    </w:p>
    <w:p w14:paraId="1EFED834">
      <w:pPr>
        <w:ind w:firstLine="420" w:firstLineChars="200"/>
        <w:rPr>
          <w:rFonts w:hint="eastAsia" w:ascii="宋体" w:hAnsi="宋体" w:eastAsia="宋体" w:cs="宋体"/>
          <w:b w:val="0"/>
          <w:bCs w:val="0"/>
        </w:rPr>
      </w:pPr>
      <w:r>
        <w:rPr>
          <w:rFonts w:hint="eastAsia" w:ascii="宋体" w:hAnsi="宋体" w:eastAsia="宋体" w:cs="宋体"/>
          <w:b w:val="0"/>
          <w:bCs w:val="0"/>
        </w:rPr>
        <w:t>（1）开展外出培训、专家指导、理论学习、反思交流等活动。</w:t>
      </w:r>
    </w:p>
    <w:p w14:paraId="194BB6EF">
      <w:pPr>
        <w:ind w:firstLine="420" w:firstLineChars="200"/>
        <w:rPr>
          <w:rFonts w:hint="eastAsia" w:ascii="宋体" w:hAnsi="宋体" w:eastAsia="宋体" w:cs="宋体"/>
          <w:b w:val="0"/>
          <w:bCs w:val="0"/>
        </w:rPr>
      </w:pPr>
      <w:r>
        <w:rPr>
          <w:rFonts w:hint="eastAsia" w:ascii="宋体" w:hAnsi="宋体" w:eastAsia="宋体" w:cs="宋体"/>
          <w:b w:val="0"/>
          <w:bCs w:val="0"/>
        </w:rPr>
        <w:t>（2）边研究边调整行动方案。</w:t>
      </w:r>
    </w:p>
    <w:p w14:paraId="356E88A4">
      <w:pPr>
        <w:ind w:firstLine="420" w:firstLineChars="200"/>
        <w:rPr>
          <w:rFonts w:hint="eastAsia" w:ascii="宋体" w:hAnsi="宋体" w:eastAsia="宋体" w:cs="宋体"/>
          <w:b w:val="0"/>
          <w:bCs w:val="0"/>
        </w:rPr>
      </w:pPr>
      <w:r>
        <w:rPr>
          <w:rFonts w:hint="eastAsia" w:ascii="宋体" w:hAnsi="宋体" w:eastAsia="宋体" w:cs="宋体"/>
          <w:b w:val="0"/>
          <w:bCs w:val="0"/>
        </w:rPr>
        <w:t>（3）结合</w:t>
      </w:r>
      <w:r>
        <w:rPr>
          <w:rFonts w:hint="eastAsia" w:ascii="宋体" w:hAnsi="宋体" w:eastAsia="宋体" w:cs="宋体"/>
          <w:b w:val="0"/>
          <w:bCs w:val="0"/>
          <w:lang w:val="en-US" w:eastAsia="zh-CN"/>
        </w:rPr>
        <w:t>学科</w:t>
      </w:r>
      <w:r>
        <w:rPr>
          <w:rFonts w:hint="eastAsia" w:ascii="宋体" w:hAnsi="宋体" w:eastAsia="宋体" w:cs="宋体"/>
          <w:b w:val="0"/>
          <w:bCs w:val="0"/>
        </w:rPr>
        <w:t>主题活动与</w:t>
      </w:r>
      <w:r>
        <w:rPr>
          <w:rFonts w:hint="eastAsia" w:ascii="宋体" w:hAnsi="宋体" w:eastAsia="宋体" w:cs="宋体"/>
          <w:b w:val="0"/>
          <w:bCs w:val="0"/>
          <w:lang w:val="en-US" w:eastAsia="zh-CN"/>
        </w:rPr>
        <w:t>德育</w:t>
      </w:r>
      <w:r>
        <w:rPr>
          <w:rFonts w:hint="eastAsia" w:ascii="宋体" w:hAnsi="宋体" w:eastAsia="宋体" w:cs="宋体"/>
          <w:b w:val="0"/>
          <w:bCs w:val="0"/>
        </w:rPr>
        <w:t>，细化研究。</w:t>
      </w:r>
    </w:p>
    <w:p w14:paraId="2B6AE0A9">
      <w:pPr>
        <w:ind w:firstLine="420" w:firstLineChars="200"/>
        <w:rPr>
          <w:rFonts w:hint="eastAsia" w:ascii="宋体" w:hAnsi="宋体" w:eastAsia="宋体" w:cs="宋体"/>
          <w:b w:val="0"/>
          <w:bCs w:val="0"/>
        </w:rPr>
      </w:pPr>
      <w:r>
        <w:rPr>
          <w:rFonts w:hint="eastAsia" w:ascii="宋体" w:hAnsi="宋体" w:eastAsia="宋体" w:cs="宋体"/>
          <w:b w:val="0"/>
          <w:bCs w:val="0"/>
        </w:rPr>
        <w:t>4.第四阶段——结题活动（20</w:t>
      </w:r>
      <w:r>
        <w:rPr>
          <w:rFonts w:hint="eastAsia" w:ascii="宋体" w:hAnsi="宋体" w:eastAsia="宋体" w:cs="宋体"/>
          <w:b w:val="0"/>
          <w:bCs w:val="0"/>
          <w:lang w:val="en-US" w:eastAsia="zh-CN"/>
        </w:rPr>
        <w:t>25</w:t>
      </w:r>
      <w:r>
        <w:rPr>
          <w:rFonts w:hint="eastAsia" w:ascii="宋体" w:hAnsi="宋体" w:eastAsia="宋体" w:cs="宋体"/>
          <w:b w:val="0"/>
          <w:bCs w:val="0"/>
        </w:rPr>
        <w:t>年</w:t>
      </w:r>
      <w:r>
        <w:rPr>
          <w:rFonts w:hint="eastAsia" w:ascii="宋体" w:hAnsi="宋体" w:eastAsia="宋体" w:cs="宋体"/>
          <w:b w:val="0"/>
          <w:bCs w:val="0"/>
          <w:lang w:val="en-US" w:eastAsia="zh-CN"/>
        </w:rPr>
        <w:t>9</w:t>
      </w:r>
      <w:r>
        <w:rPr>
          <w:rFonts w:hint="eastAsia" w:ascii="宋体" w:hAnsi="宋体" w:eastAsia="宋体" w:cs="宋体"/>
          <w:b w:val="0"/>
          <w:bCs w:val="0"/>
        </w:rPr>
        <w:t>月~20</w:t>
      </w:r>
      <w:r>
        <w:rPr>
          <w:rFonts w:hint="eastAsia" w:ascii="宋体" w:hAnsi="宋体" w:eastAsia="宋体" w:cs="宋体"/>
          <w:b w:val="0"/>
          <w:bCs w:val="0"/>
          <w:lang w:val="en-US" w:eastAsia="zh-CN"/>
        </w:rPr>
        <w:t>25</w:t>
      </w:r>
      <w:r>
        <w:rPr>
          <w:rFonts w:hint="eastAsia" w:ascii="宋体" w:hAnsi="宋体" w:eastAsia="宋体" w:cs="宋体"/>
          <w:b w:val="0"/>
          <w:bCs w:val="0"/>
        </w:rPr>
        <w:t>年</w:t>
      </w:r>
      <w:r>
        <w:rPr>
          <w:rFonts w:hint="eastAsia" w:ascii="宋体" w:hAnsi="宋体" w:eastAsia="宋体" w:cs="宋体"/>
          <w:b w:val="0"/>
          <w:bCs w:val="0"/>
          <w:lang w:val="en-US" w:eastAsia="zh-CN"/>
        </w:rPr>
        <w:t>10</w:t>
      </w:r>
      <w:r>
        <w:rPr>
          <w:rFonts w:hint="eastAsia" w:ascii="宋体" w:hAnsi="宋体" w:eastAsia="宋体" w:cs="宋体"/>
          <w:b w:val="0"/>
          <w:bCs w:val="0"/>
        </w:rPr>
        <w:t>月）</w:t>
      </w:r>
    </w:p>
    <w:p w14:paraId="021B51F9">
      <w:pPr>
        <w:ind w:firstLine="420" w:firstLineChars="200"/>
        <w:rPr>
          <w:rFonts w:hint="eastAsia" w:ascii="宋体" w:hAnsi="宋体" w:eastAsia="宋体" w:cs="宋体"/>
          <w:b w:val="0"/>
          <w:bCs w:val="0"/>
        </w:rPr>
      </w:pPr>
      <w:r>
        <w:rPr>
          <w:rFonts w:hint="eastAsia" w:ascii="宋体" w:hAnsi="宋体" w:eastAsia="宋体" w:cs="宋体"/>
          <w:b w:val="0"/>
          <w:bCs w:val="0"/>
        </w:rPr>
        <w:t>（1）撰写研究报告。</w:t>
      </w:r>
    </w:p>
    <w:p w14:paraId="69B757CD">
      <w:pPr>
        <w:ind w:firstLine="420" w:firstLineChars="200"/>
        <w:rPr>
          <w:rFonts w:hint="eastAsia" w:ascii="宋体" w:hAnsi="宋体" w:eastAsia="宋体" w:cs="宋体"/>
          <w:b w:val="0"/>
          <w:bCs w:val="0"/>
        </w:rPr>
      </w:pPr>
      <w:r>
        <w:rPr>
          <w:rFonts w:hint="eastAsia" w:ascii="宋体" w:hAnsi="宋体" w:eastAsia="宋体" w:cs="宋体"/>
          <w:b w:val="0"/>
          <w:bCs w:val="0"/>
        </w:rPr>
        <w:t>（2）整理研究的过程性资料，接受结题评估。</w:t>
      </w:r>
    </w:p>
    <w:p w14:paraId="0AC09A08">
      <w:pPr>
        <w:ind w:firstLine="422" w:firstLineChars="200"/>
        <w:rPr>
          <w:rFonts w:hint="eastAsia" w:ascii="宋体" w:hAnsi="宋体" w:eastAsia="宋体" w:cs="宋体"/>
          <w:b/>
          <w:bCs/>
        </w:rPr>
      </w:pPr>
    </w:p>
    <w:p w14:paraId="4E6F79E6">
      <w:pPr>
        <w:ind w:firstLine="422" w:firstLineChars="200"/>
        <w:rPr>
          <w:rFonts w:hint="eastAsia" w:ascii="宋体" w:hAnsi="宋体" w:eastAsia="宋体" w:cs="宋体"/>
          <w:b/>
          <w:bCs/>
        </w:rPr>
      </w:pPr>
      <w:r>
        <w:rPr>
          <w:rFonts w:hint="eastAsia" w:ascii="宋体" w:hAnsi="宋体" w:eastAsia="宋体" w:cs="宋体"/>
          <w:b/>
          <w:bCs/>
        </w:rPr>
        <w:t>（二）节点事件的回顾</w:t>
      </w:r>
    </w:p>
    <w:p w14:paraId="5C2838A6">
      <w:pPr>
        <w:ind w:firstLine="420" w:firstLineChars="200"/>
        <w:rPr>
          <w:rFonts w:hint="eastAsia" w:ascii="宋体" w:hAnsi="宋体" w:eastAsia="宋体" w:cs="宋体"/>
        </w:rPr>
      </w:pPr>
      <w:r>
        <w:rPr>
          <w:rFonts w:hint="eastAsia" w:ascii="宋体" w:hAnsi="宋体" w:eastAsia="宋体" w:cs="宋体"/>
        </w:rPr>
        <w:t>1.精心筹备开题活动。</w:t>
      </w:r>
    </w:p>
    <w:p w14:paraId="54EAD89E">
      <w:pPr>
        <w:ind w:firstLine="420" w:firstLineChars="200"/>
        <w:rPr>
          <w:rFonts w:hint="eastAsia" w:ascii="宋体" w:hAnsi="宋体" w:eastAsia="宋体" w:cs="宋体"/>
        </w:rPr>
      </w:pPr>
      <w:r>
        <w:rPr>
          <w:rFonts w:hint="eastAsia" w:ascii="宋体" w:hAnsi="宋体" w:eastAsia="宋体" w:cs="宋体"/>
        </w:rPr>
        <w:t>我们课题组自获批立项后，立即组建了专项研究团队，共同精心策划课题实施方案</w:t>
      </w:r>
    </w:p>
    <w:p w14:paraId="42749634">
      <w:pPr>
        <w:numPr>
          <w:ilvl w:val="0"/>
          <w:numId w:val="0"/>
        </w:numPr>
        <w:rPr>
          <w:rFonts w:hint="eastAsia" w:ascii="宋体" w:hAnsi="宋体" w:eastAsia="宋体" w:cs="宋体"/>
        </w:rPr>
      </w:pPr>
      <w:r>
        <w:rPr>
          <w:rFonts w:hint="eastAsia" w:ascii="宋体" w:hAnsi="宋体" w:eastAsia="宋体" w:cs="宋体"/>
          <w:lang w:val="en-US" w:eastAsia="zh-CN"/>
        </w:rPr>
        <w:t>语文组</w:t>
      </w:r>
      <w:r>
        <w:rPr>
          <w:rFonts w:hint="eastAsia" w:ascii="宋体" w:hAnsi="宋体" w:eastAsia="宋体" w:cs="宋体"/>
        </w:rPr>
        <w:t>在听取开题后，对本课题的选题价值给予充分肯定</w:t>
      </w:r>
      <w:r>
        <w:rPr>
          <w:rFonts w:hint="eastAsia" w:ascii="宋体" w:hAnsi="宋体" w:eastAsia="宋体" w:cs="宋体"/>
          <w:lang w:eastAsia="zh-CN"/>
        </w:rPr>
        <w:t>，</w:t>
      </w:r>
      <w:r>
        <w:rPr>
          <w:rFonts w:hint="eastAsia" w:ascii="宋体" w:hAnsi="宋体" w:eastAsia="宋体" w:cs="宋体"/>
          <w:lang w:val="en-US" w:eastAsia="zh-CN"/>
        </w:rPr>
        <w:t>认为</w:t>
      </w:r>
      <w:r>
        <w:rPr>
          <w:rFonts w:hint="eastAsia" w:ascii="宋体" w:hAnsi="宋体" w:eastAsia="宋体" w:cs="宋体"/>
        </w:rPr>
        <w:t>“在当前教育转型期，聚焦</w:t>
      </w:r>
      <w:r>
        <w:rPr>
          <w:rFonts w:hint="eastAsia" w:ascii="宋体" w:hAnsi="宋体" w:eastAsia="宋体" w:cs="宋体"/>
          <w:lang w:val="en-US" w:eastAsia="zh-CN"/>
        </w:rPr>
        <w:t>评价体系</w:t>
      </w:r>
      <w:r>
        <w:rPr>
          <w:rFonts w:hint="eastAsia" w:ascii="宋体" w:hAnsi="宋体" w:eastAsia="宋体" w:cs="宋体"/>
        </w:rPr>
        <w:t>视角探索教学改革具有重要现实意义。</w:t>
      </w:r>
      <w:r>
        <w:rPr>
          <w:rFonts w:hint="eastAsia" w:ascii="宋体" w:hAnsi="宋体" w:eastAsia="宋体" w:cs="宋体"/>
          <w:lang w:val="en-US" w:eastAsia="zh-CN"/>
        </w:rPr>
        <w:t>其中</w:t>
      </w:r>
      <w:r>
        <w:rPr>
          <w:rFonts w:hint="eastAsia" w:ascii="宋体" w:hAnsi="宋体" w:eastAsia="宋体" w:cs="宋体"/>
        </w:rPr>
        <w:t>所</w:t>
      </w:r>
      <w:r>
        <w:rPr>
          <w:rFonts w:hint="eastAsia" w:ascii="宋体" w:hAnsi="宋体" w:eastAsia="宋体" w:cs="宋体"/>
          <w:lang w:val="en-US" w:eastAsia="zh-CN"/>
        </w:rPr>
        <w:t>体现</w:t>
      </w:r>
      <w:r>
        <w:rPr>
          <w:rFonts w:hint="eastAsia" w:ascii="宋体" w:hAnsi="宋体" w:eastAsia="宋体" w:cs="宋体"/>
        </w:rPr>
        <w:t>的批判性思维与创新能力，正是新时代</w:t>
      </w:r>
      <w:r>
        <w:rPr>
          <w:rFonts w:hint="eastAsia" w:ascii="宋体" w:hAnsi="宋体" w:eastAsia="宋体" w:cs="宋体"/>
          <w:lang w:eastAsia="zh-CN"/>
        </w:rPr>
        <w:t>的</w:t>
      </w:r>
      <w:r>
        <w:rPr>
          <w:rFonts w:hint="eastAsia" w:ascii="宋体" w:hAnsi="宋体" w:eastAsia="宋体" w:cs="宋体"/>
        </w:rPr>
        <w:t>核心诉求。该课题立足教学实践痛点，研究目标明确，实施路径清晰，较之以往大而化之的研究更具实践价值。”</w:t>
      </w:r>
    </w:p>
    <w:p w14:paraId="5F974895">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2.“蝉的一生就是七年地下的蛰伏和一个月枝头的歌唱”研究课</w:t>
      </w:r>
    </w:p>
    <w:p w14:paraId="57A05018">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2025年3月我组高雨萱老师执教的《蝉》一课，是课题组在构建“基于核心素养的阅读教学评价体系”探索中的典型范例。这篇经典说明文，以其严谨的科学性、清晰的逻辑性与独特的文学韵味，为我们提供了一个绝佳的研究载体。在本课例中，我们不再满足于传统的、局限于知识点掌握与否的单一评价，而是将评价的焦点精准地对准了学生在信息提取、逻辑梳理与科学语言鉴赏三大维度上的核心素养表现，力求让评价贯穿教学始终，成为引领与促进学生深度学习的引擎。</w:t>
      </w:r>
    </w:p>
    <w:p w14:paraId="33D1FD09">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课堂伊始，高老师便精心设计了一项核心任务——“填充蝉的生命简史图”。这并非一个简单的信息查找环节，而是一个综合性的评价情境。我们通过观察学生能否从文本中准确筛选出关于蝉的产卵、孵化、幼虫入地、地下生活年限以及最终破土羽化等关键信息，并按照时间顺序与生命阶段进行逻辑整合，来评价其筛选、整合信息的能力。在此过程中，我们不仅关注答案的正确性，更关注学生提取信息的路径与方法，是囫囵吞枣地照搬原文，还是能抓住关键词句进行精炼概括。这一任务的设计，旨在将“语言建构与运用”素养中最为基础却至关重要的信息处理能力，变得可视、可评。</w:t>
      </w:r>
    </w:p>
    <w:p w14:paraId="01F9D0DB">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在信息梳理的基础上，课堂进一步深入到对说明文语言特质的品鉴。高老师引导学生聚焦于文中那些体现说明文语言准确性（如确凿的数据、严密的修饰限制词）与生动性（如拟人、比喻等修辞）的典型句子。在此环节，我们的评价重点在于评估学生的语言鉴赏力与文体感知能力。当学生能指出“四年黑暗中的苦工，一个月阳光下的享乐”一句中，数字对比所带来的生命震撼，以及“苦工”“享乐”这类拟人化词语所赋予的情感温度时，我们便能看到他们不仅理解了内容，更开始触及文本的形式之美，实现了“思维发展与提升”与“审美鉴赏与创造”的融合。</w:t>
      </w:r>
    </w:p>
    <w:p w14:paraId="50B99BA8">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最为精彩的，是课堂尾声的 “假设你是法布尔”微独白写作任务。这一设计巧妙地实现了从文本理解到价值认同的升华。学生需要化身科学家法布尔，以第一人称的口吻，阐述长期观察蝉的内心独白。在这个任务中，我们重点关注的不再仅仅是语言的华丽，而是学生对科学精神（长期坚守、细致观察）与生命态度（尊重、赞叹）的理解深度与个性化表达。从学生的独白中，我们能够评价他们是否真正走进了文本的内核，是否感受到了科学探索背后的人文情怀，这直接关联着“文化传承与理解”这一高阶素养的达成。</w:t>
      </w:r>
    </w:p>
    <w:p w14:paraId="0C4CC610">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通过《蝉》这一课例，我们初步摸索并形成了一条在说明文阅读教学中清晰可行的评价路径：即从“信息整合” 的基础能力，到“语言品析” 的审美思维，最终抵达“科学态度” 的价值体认。这“三位一体”的评价框架，将核心素养的宏大理念分解为可操作、可观测的课堂行为，为我们后续的系统研究奠定了坚实的实践基础。</w:t>
      </w:r>
    </w:p>
    <w:p w14:paraId="3A3EC553">
      <w:pPr>
        <w:numPr>
          <w:ilvl w:val="0"/>
          <w:numId w:val="0"/>
        </w:numPr>
        <w:ind w:firstLine="420" w:firstLineChars="200"/>
        <w:rPr>
          <w:rFonts w:hint="default"/>
          <w:lang w:val="en-US" w:eastAsia="zh-CN"/>
        </w:rPr>
      </w:pPr>
      <w:r>
        <w:rPr>
          <w:rFonts w:hint="default"/>
          <w:lang w:val="en-US" w:eastAsia="zh-CN"/>
        </w:rPr>
        <w:drawing>
          <wp:inline distT="0" distB="0" distL="114300" distR="114300">
            <wp:extent cx="5274310" cy="3955415"/>
            <wp:effectExtent l="0" t="0" r="635" b="6985"/>
            <wp:docPr id="16" name="图片 16" descr="mmexport176140341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mmexport1761403411284"/>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14:paraId="2BD0F6A1">
      <w:pPr>
        <w:numPr>
          <w:ilvl w:val="0"/>
          <w:numId w:val="0"/>
        </w:numPr>
        <w:ind w:firstLine="420" w:firstLineChars="200"/>
        <w:rPr>
          <w:rFonts w:hint="default"/>
          <w:lang w:val="en-US" w:eastAsia="zh-CN"/>
        </w:rPr>
      </w:pPr>
      <w:r>
        <w:rPr>
          <w:rFonts w:hint="default"/>
          <w:lang w:val="en-US" w:eastAsia="zh-CN"/>
        </w:rPr>
        <w:drawing>
          <wp:inline distT="0" distB="0" distL="114300" distR="114300">
            <wp:extent cx="5274310" cy="3955415"/>
            <wp:effectExtent l="0" t="0" r="635" b="6985"/>
            <wp:docPr id="17" name="图片 17" descr="mmexport176140343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mmexport1761403434083"/>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14:paraId="4775AF47">
      <w:pPr>
        <w:numPr>
          <w:ilvl w:val="0"/>
          <w:numId w:val="0"/>
        </w:numPr>
        <w:ind w:firstLine="420" w:firstLineChars="200"/>
        <w:rPr>
          <w:rFonts w:hint="default"/>
          <w:lang w:val="en-US" w:eastAsia="zh-CN"/>
        </w:rPr>
      </w:pPr>
    </w:p>
    <w:p w14:paraId="59834003">
      <w:pPr>
        <w:numPr>
          <w:ilvl w:val="0"/>
          <w:numId w:val="0"/>
        </w:numPr>
        <w:ind w:firstLine="420"/>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lang w:val="en-US" w:eastAsia="zh-CN"/>
        </w:rPr>
        <w:t>第三只猫生命的独白</w:t>
      </w:r>
      <w:r>
        <w:rPr>
          <w:rFonts w:hint="eastAsia" w:ascii="宋体" w:hAnsi="宋体" w:eastAsia="宋体" w:cs="宋体"/>
          <w:lang w:eastAsia="zh-CN"/>
        </w:rPr>
        <w:t>”研究课</w:t>
      </w:r>
    </w:p>
    <w:p w14:paraId="0DFAFCC2">
      <w:pPr>
        <w:numPr>
          <w:ilvl w:val="0"/>
          <w:numId w:val="0"/>
        </w:numPr>
        <w:ind w:firstLine="420"/>
        <w:rPr>
          <w:rFonts w:hint="eastAsia" w:ascii="宋体" w:hAnsi="宋体" w:eastAsia="宋体" w:cs="宋体"/>
          <w:lang w:eastAsia="zh-CN"/>
        </w:rPr>
      </w:pPr>
      <w:r>
        <w:rPr>
          <w:rFonts w:hint="eastAsia" w:ascii="宋体" w:hAnsi="宋体" w:eastAsia="宋体" w:cs="宋体"/>
          <w:lang w:eastAsia="zh-CN"/>
        </w:rPr>
        <w:t>陶宇涵老师</w:t>
      </w:r>
      <w:r>
        <w:rPr>
          <w:rFonts w:hint="eastAsia" w:ascii="宋体" w:hAnsi="宋体" w:eastAsia="宋体" w:cs="宋体"/>
          <w:lang w:val="en-US" w:eastAsia="zh-CN"/>
        </w:rPr>
        <w:t>于2024年11月</w:t>
      </w:r>
      <w:r>
        <w:rPr>
          <w:rFonts w:hint="eastAsia" w:ascii="宋体" w:hAnsi="宋体" w:eastAsia="宋体" w:cs="宋体"/>
          <w:lang w:eastAsia="zh-CN"/>
        </w:rPr>
        <w:t>执教的《猫》一课，以其独具匠心的“变换叙述视角”教学策略，为我们探索文学类文本的核心素养评价提供了富有启发性的创新范式。这堂课跳脱了传统小说教学中对情节、人物、环境的机械分析，通过精心设计的“读者视角——‘</w:t>
      </w:r>
      <w:r>
        <w:rPr>
          <w:rFonts w:hint="eastAsia" w:ascii="宋体" w:hAnsi="宋体" w:eastAsia="宋体" w:cs="宋体"/>
          <w:lang w:val="en-US" w:eastAsia="zh-CN"/>
        </w:rPr>
        <w:t>我</w:t>
      </w:r>
      <w:r>
        <w:rPr>
          <w:rFonts w:hint="eastAsia" w:ascii="宋体" w:hAnsi="宋体" w:eastAsia="宋体" w:cs="宋体"/>
          <w:lang w:eastAsia="zh-CN"/>
        </w:rPr>
        <w:t>’的视角——猫的视角”三重转换，构建了一个层层递进、由表及里的深度阅读路径，使我们对学生文学鉴赏能力与人文素养的评价得以真正落地。</w:t>
      </w:r>
    </w:p>
    <w:p w14:paraId="1A9604EC">
      <w:pPr>
        <w:numPr>
          <w:ilvl w:val="0"/>
          <w:numId w:val="0"/>
        </w:numPr>
        <w:ind w:firstLine="420"/>
        <w:rPr>
          <w:rFonts w:hint="eastAsia" w:ascii="宋体" w:hAnsi="宋体" w:eastAsia="宋体" w:cs="宋体"/>
          <w:lang w:eastAsia="zh-CN"/>
        </w:rPr>
      </w:pPr>
      <w:r>
        <w:rPr>
          <w:rFonts w:hint="eastAsia" w:ascii="宋体" w:hAnsi="宋体" w:eastAsia="宋体" w:cs="宋体"/>
          <w:lang w:eastAsia="zh-CN"/>
        </w:rPr>
        <w:t>课堂伊始，教师引导学生以读者视角切入文本，完成对故事脉络的客观梳理。这一阶段，我们着重评价学生信息提取与逻辑整合的能力，观察他们能否准确把握三只猫的外形、性情、命运等基本信息，并理清文章叙事线索。这是理解的基石，也是评价的基础维度。</w:t>
      </w:r>
    </w:p>
    <w:p w14:paraId="6785D05A">
      <w:pPr>
        <w:numPr>
          <w:ilvl w:val="0"/>
          <w:numId w:val="0"/>
        </w:numPr>
        <w:ind w:firstLine="420"/>
        <w:rPr>
          <w:rFonts w:hint="eastAsia" w:ascii="宋体" w:hAnsi="宋体" w:eastAsia="宋体" w:cs="宋体"/>
          <w:lang w:eastAsia="zh-CN"/>
        </w:rPr>
      </w:pPr>
      <w:r>
        <w:rPr>
          <w:rFonts w:hint="eastAsia" w:ascii="宋体" w:hAnsi="宋体" w:eastAsia="宋体" w:cs="宋体"/>
          <w:lang w:eastAsia="zh-CN"/>
        </w:rPr>
        <w:t>随后，课堂转向"我"的视角的深度开掘。教师通过设置"作为猫的主人，‘</w:t>
      </w:r>
      <w:r>
        <w:rPr>
          <w:rFonts w:hint="eastAsia" w:ascii="宋体" w:hAnsi="宋体" w:eastAsia="宋体" w:cs="宋体"/>
          <w:lang w:val="en-US" w:eastAsia="zh-CN"/>
        </w:rPr>
        <w:t>我</w:t>
      </w:r>
      <w:r>
        <w:rPr>
          <w:rFonts w:hint="eastAsia" w:ascii="宋体" w:hAnsi="宋体" w:eastAsia="宋体" w:cs="宋体"/>
          <w:lang w:eastAsia="zh-CN"/>
        </w:rPr>
        <w:t>’在不同阶段的情感体验有何变化"等核心问题，引导学生潜入叙述者的内心世界。在此环节，我们的评价焦点从“</w:t>
      </w:r>
      <w:r>
        <w:rPr>
          <w:rFonts w:hint="eastAsia" w:ascii="宋体" w:hAnsi="宋体" w:eastAsia="宋体" w:cs="宋体"/>
          <w:lang w:val="en-US" w:eastAsia="zh-CN"/>
        </w:rPr>
        <w:t>读懂故事</w:t>
      </w:r>
      <w:r>
        <w:rPr>
          <w:rFonts w:hint="eastAsia" w:ascii="宋体" w:hAnsi="宋体" w:eastAsia="宋体" w:cs="宋体"/>
          <w:lang w:eastAsia="zh-CN"/>
        </w:rPr>
        <w:t>”转向“读懂人心”，重点考察学生的情感体悟与文本分析能力。通过学生的发言与讨论，我们可以评估他们是否能够捕捉到"我"那份从欣喜、担忧到无奈、悔恨的复杂情感流变，并理解这种情感变化是如何通过细腻的语言得以呈现的。</w:t>
      </w:r>
    </w:p>
    <w:p w14:paraId="06864841">
      <w:pPr>
        <w:numPr>
          <w:ilvl w:val="0"/>
          <w:numId w:val="0"/>
        </w:numPr>
        <w:ind w:firstLine="420"/>
        <w:rPr>
          <w:rFonts w:hint="eastAsia" w:eastAsiaTheme="minorEastAsia"/>
          <w:lang w:eastAsia="zh-CN"/>
        </w:rPr>
      </w:pPr>
      <w:r>
        <w:rPr>
          <w:rFonts w:hint="eastAsia" w:ascii="宋体" w:hAnsi="宋体" w:eastAsia="宋体" w:cs="宋体"/>
          <w:lang w:eastAsia="zh-CN"/>
        </w:rPr>
        <w:t>最具创新性的环节在于猫的视角的想象重构。教师设计了“请以第三只猫的口吻，写下它在生命最后时刻的独白”这一创造性任务。这</w:t>
      </w:r>
      <w:r>
        <w:rPr>
          <w:rFonts w:hint="eastAsia" w:eastAsiaTheme="minorEastAsia"/>
          <w:lang w:eastAsia="zh-CN"/>
        </w:rPr>
        <w:t>一设计极大地拓展了评价的深度与广度。在此，我们不仅关注学生语言表达的准确与生动，更着重评价其共情能力、批判性思维与生命关怀意识。当学生能够跳出人类中心主义的立场，尝试理解弱势生命的无声控诉时，便展现出了对文本社会意义与哲学内涵的深刻反思。这标志着他们的思维从理解性阅读迈向了批判性阅读。</w:t>
      </w:r>
    </w:p>
    <w:p w14:paraId="7D255E45">
      <w:pPr>
        <w:numPr>
          <w:ilvl w:val="0"/>
          <w:numId w:val="0"/>
        </w:numPr>
        <w:ind w:firstLine="420"/>
        <w:rPr>
          <w:rFonts w:hint="eastAsia" w:eastAsiaTheme="minorEastAsia"/>
          <w:lang w:eastAsia="zh-CN"/>
        </w:rPr>
      </w:pPr>
      <w:r>
        <w:rPr>
          <w:rFonts w:hint="eastAsia" w:eastAsiaTheme="minorEastAsia"/>
          <w:lang w:eastAsia="zh-CN"/>
        </w:rPr>
        <w:t>通过这三重视角的巧妙转换与有机融合，陶宇涵老师的《猫》成功构建了一个</w:t>
      </w:r>
      <w:r>
        <w:rPr>
          <w:rFonts w:hint="eastAsia"/>
          <w:lang w:eastAsia="zh-CN"/>
        </w:rPr>
        <w:t>“</w:t>
      </w:r>
      <w:r>
        <w:rPr>
          <w:rFonts w:hint="eastAsia" w:eastAsiaTheme="minorEastAsia"/>
          <w:lang w:eastAsia="zh-CN"/>
        </w:rPr>
        <w:t>多维度、沉浸式、反思性</w:t>
      </w:r>
      <w:r>
        <w:rPr>
          <w:rFonts w:hint="eastAsia"/>
          <w:lang w:eastAsia="zh-CN"/>
        </w:rPr>
        <w:t>”</w:t>
      </w:r>
      <w:r>
        <w:rPr>
          <w:rFonts w:hint="eastAsia" w:eastAsiaTheme="minorEastAsia"/>
          <w:lang w:eastAsia="zh-CN"/>
        </w:rPr>
        <w:t>的文学阅读评价模型。</w:t>
      </w:r>
      <w:r>
        <w:rPr>
          <w:rFonts w:hint="eastAsia"/>
          <w:lang w:eastAsia="zh-CN"/>
        </w:rPr>
        <w:t>“</w:t>
      </w:r>
      <w:r>
        <w:rPr>
          <w:rFonts w:hint="eastAsia" w:eastAsiaTheme="minorEastAsia"/>
          <w:lang w:eastAsia="zh-CN"/>
        </w:rPr>
        <w:t>多维度</w:t>
      </w:r>
      <w:r>
        <w:rPr>
          <w:rFonts w:hint="eastAsia"/>
          <w:lang w:eastAsia="zh-CN"/>
        </w:rPr>
        <w:t>”</w:t>
      </w:r>
      <w:r>
        <w:rPr>
          <w:rFonts w:hint="eastAsia" w:eastAsiaTheme="minorEastAsia"/>
          <w:lang w:eastAsia="zh-CN"/>
        </w:rPr>
        <w:t>体现在它同时关照了认知、情感与价值观；</w:t>
      </w:r>
      <w:r>
        <w:rPr>
          <w:rFonts w:hint="eastAsia"/>
          <w:lang w:eastAsia="zh-CN"/>
        </w:rPr>
        <w:t>“</w:t>
      </w:r>
      <w:r>
        <w:rPr>
          <w:rFonts w:hint="eastAsia"/>
          <w:lang w:val="en-US" w:eastAsia="zh-CN"/>
        </w:rPr>
        <w:t>沉浸式</w:t>
      </w:r>
      <w:r>
        <w:rPr>
          <w:rFonts w:hint="eastAsia"/>
          <w:lang w:eastAsia="zh-CN"/>
        </w:rPr>
        <w:t>”</w:t>
      </w:r>
      <w:r>
        <w:rPr>
          <w:rFonts w:hint="eastAsia" w:eastAsiaTheme="minorEastAsia"/>
          <w:lang w:eastAsia="zh-CN"/>
        </w:rPr>
        <w:t>体现在通过角色代入创造了真实的评价情境；</w:t>
      </w:r>
      <w:r>
        <w:rPr>
          <w:rFonts w:hint="eastAsia"/>
          <w:lang w:eastAsia="zh-CN"/>
        </w:rPr>
        <w:t>“</w:t>
      </w:r>
      <w:r>
        <w:rPr>
          <w:rFonts w:hint="eastAsia"/>
          <w:lang w:val="en-US" w:eastAsia="zh-CN"/>
        </w:rPr>
        <w:t>反思性</w:t>
      </w:r>
      <w:r>
        <w:rPr>
          <w:rFonts w:hint="eastAsia"/>
          <w:lang w:eastAsia="zh-CN"/>
        </w:rPr>
        <w:t>”</w:t>
      </w:r>
      <w:r>
        <w:rPr>
          <w:rFonts w:hint="eastAsia" w:eastAsiaTheme="minorEastAsia"/>
          <w:lang w:eastAsia="zh-CN"/>
        </w:rPr>
        <w:t>则体现在它最终促使学生对生命、责任与公正等永恒议题进行独立思考。该课例不仅生动地诠释了语文核心素养在叙事类文本教学中的落地路径，更为我们后续构建更为科学的文学阅读评价体系提供了宝贵的实践样本与理论启示。</w:t>
      </w:r>
    </w:p>
    <w:p w14:paraId="57C64048">
      <w:pPr>
        <w:numPr>
          <w:ilvl w:val="0"/>
          <w:numId w:val="0"/>
        </w:numPr>
        <w:ind w:firstLine="420"/>
        <w:rPr>
          <w:rFonts w:hint="eastAsia" w:eastAsiaTheme="minorEastAsia"/>
          <w:lang w:eastAsia="zh-CN"/>
        </w:rPr>
      </w:pPr>
      <w:r>
        <w:rPr>
          <w:rFonts w:hint="eastAsia" w:eastAsiaTheme="minorEastAsia"/>
          <w:lang w:eastAsia="zh-CN"/>
        </w:rPr>
        <w:drawing>
          <wp:inline distT="0" distB="0" distL="114300" distR="114300">
            <wp:extent cx="5266690" cy="3950335"/>
            <wp:effectExtent l="0" t="0" r="0" b="3810"/>
            <wp:docPr id="21" name="图片 21" descr="mmexport176140347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mmexport1761403473312"/>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14:paraId="4CF556B4">
      <w:pPr>
        <w:numPr>
          <w:ilvl w:val="0"/>
          <w:numId w:val="0"/>
        </w:numPr>
        <w:ind w:firstLine="420"/>
        <w:rPr>
          <w:rFonts w:hint="eastAsia" w:eastAsiaTheme="minorEastAsia"/>
          <w:lang w:eastAsia="zh-CN"/>
        </w:rPr>
      </w:pPr>
      <w:r>
        <w:rPr>
          <w:rFonts w:hint="eastAsia" w:eastAsiaTheme="minorEastAsia"/>
          <w:lang w:eastAsia="zh-CN"/>
        </w:rPr>
        <w:drawing>
          <wp:inline distT="0" distB="0" distL="114300" distR="114300">
            <wp:extent cx="5266690" cy="3950335"/>
            <wp:effectExtent l="0" t="0" r="0" b="3810"/>
            <wp:docPr id="22" name="图片 22" descr="mmexport1761403479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mmexport1761403479073"/>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p>
    <w:p w14:paraId="76376D7D">
      <w:pPr>
        <w:numPr>
          <w:ilvl w:val="0"/>
          <w:numId w:val="0"/>
        </w:numPr>
        <w:ind w:leftChars="200" w:firstLine="420"/>
        <w:rPr>
          <w:rFonts w:hint="default" w:ascii="宋体" w:hAnsi="宋体" w:eastAsia="宋体" w:cs="宋体"/>
          <w:b w:val="0"/>
          <w:bCs w:val="0"/>
          <w:sz w:val="21"/>
          <w:szCs w:val="21"/>
          <w:lang w:val="en-US" w:eastAsia="zh-CN"/>
        </w:rPr>
      </w:pPr>
    </w:p>
    <w:p w14:paraId="031997B1">
      <w:pPr>
        <w:numPr>
          <w:ilvl w:val="0"/>
          <w:numId w:val="0"/>
        </w:numPr>
        <w:ind w:left="420" w:leftChars="0"/>
        <w:rPr>
          <w:rFonts w:hint="eastAsia" w:ascii="宋体" w:hAnsi="宋体" w:eastAsia="宋体" w:cs="宋体"/>
          <w:lang w:val="en-US" w:eastAsia="zh-CN"/>
        </w:rPr>
      </w:pPr>
      <w:r>
        <w:rPr>
          <w:rFonts w:hint="eastAsia" w:ascii="宋体" w:hAnsi="宋体" w:eastAsia="宋体" w:cs="宋体"/>
          <w:lang w:val="en-US" w:eastAsia="zh-CN"/>
        </w:rPr>
        <w:t>4.“教学评一体系统化建构”论文指引实践</w:t>
      </w:r>
    </w:p>
    <w:p w14:paraId="3D6E3A0D">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2024年12月高雨萱老师的论文《‘教—学—评’一体化下初中语文单元作业的设计实践——以八年级上册第二单元为例》获得中语会论文三等奖，为核心素养落地提供了具象化的单元作业实践方案。该研究以八年级上册第二单元（包含《藤野先生》《回忆我的母亲》等回忆性散文与人物传记）为范本，系统阐述了作业优化的完整路径。</w:t>
      </w:r>
    </w:p>
    <w:p w14:paraId="02927086">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首先，在目标确立层面，研究强调作业设计必须始于对单元内容的深度解析与整合。高老师提出需把握本单元“典型事件、真实内容、细节描写”的共性特征，并将其与“学写传记”的写作目标相联系。在此基础上，将宏大的核心素养理念细化为可观测、可评价的具体作业目标，例如在“语言运用”维度要求“梳理信息”，“思维发展”维度强调“概括典型事件”，为后续设计与评价提供了清晰导向。</w:t>
      </w:r>
    </w:p>
    <w:p w14:paraId="08D38C4A">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其次，在作业设计层面，研究构建了一个分层、多元的作业体系。一是设计了面向全体的前置性基础作业，如整理字词、搜集人物资料，旨在夯实基础，培养自主学习习惯。二是设计了富有弹性的差异性课时作业，将核心任务融入真实情境。例如，为《藤野先生》设计“跨时空最美教师”投票和模拟采访任务，驱动学生主动梳理与归纳信息；为《美丽的颜色》设计撰写“颁奖词”的活动，训练学生精准概括与创意表达的能力。这些作业形式新颖，有效连接了课内学习与课外实践，促进了知识的迁移与应用。</w:t>
      </w:r>
    </w:p>
    <w:p w14:paraId="638E7960">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最后，在评价实施层面，研究着力构建了与教学、学习紧密咬合的动态评价系统。其一，它回扣单元目标，细化了涵盖“学习态度”、“核心素养发展水平”、“合作能力”与“作业质量”四大维度的量化评价标准，使素养评价有了“标尺”。其二，它打破了教师作为唯一评价者的传统，引入了学生自评、同伴互评乃至家长反馈，形成了多视角、立体的评价网络。其三，它拓展了评价方式，如将《回忆我的母亲》的视频作业、《藤野先生》的采访录像纳入评价范畴，全面考察学生的综合表现。</w:t>
      </w:r>
    </w:p>
    <w:p w14:paraId="0E365C35">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总之，该实践研究通过“目标—设计—评价”三位一体的系统化建构，真正实现了“教—学—评”的深度融合，为在单元作业这一关键环节落实核心素养、推动学生全面发展提供了行之有效的范例。</w:t>
      </w:r>
    </w:p>
    <w:p w14:paraId="14E4D77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5.教师发展为课题注入力量</w:t>
      </w:r>
    </w:p>
    <w:p w14:paraId="44F1C23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2024年常州市青年教师语文教学基本功大赛中，课题组高雨萱老师和陶宇涵老师凭借扎实的专业功底和出色的教学表现，双双荣获二等奖。此次比赛全面考察了教师的教材解读、教学设计、课堂实施及评价反馈等综合能力。两位老师在比赛中，创造性地应用了课题组关于“教—学—评”一体化的研究成果，特别是在单元作业设计与课堂评价反馈的有机衔接方面展现了独到见解。这一成绩不仅是对两位教师个人专业素养的肯定，更是我校语文教研组深耕教学改革、致力团队共建所取得的又一显著成果。</w:t>
      </w:r>
    </w:p>
    <w:p w14:paraId="3C8D97C2">
      <w:pPr>
        <w:numPr>
          <w:ilvl w:val="0"/>
          <w:numId w:val="0"/>
        </w:numPr>
        <w:ind w:left="420" w:leftChars="0"/>
        <w:rPr>
          <w:rFonts w:hint="eastAsia" w:ascii="宋体" w:hAnsi="宋体" w:eastAsia="宋体" w:cs="宋体"/>
          <w:lang w:val="en-US" w:eastAsia="zh-CN"/>
        </w:rPr>
      </w:pPr>
    </w:p>
    <w:p w14:paraId="653B6606">
      <w:pPr>
        <w:numPr>
          <w:ilvl w:val="0"/>
          <w:numId w:val="0"/>
        </w:numPr>
        <w:ind w:firstLine="420"/>
        <w:rPr>
          <w:rFonts w:hint="eastAsia" w:ascii="宋体" w:hAnsi="宋体" w:eastAsia="宋体" w:cs="宋体"/>
          <w:b/>
          <w:bCs/>
          <w:lang w:val="en-US" w:eastAsia="zh-CN"/>
        </w:rPr>
      </w:pPr>
      <w:r>
        <w:rPr>
          <w:rFonts w:hint="eastAsia" w:ascii="宋体" w:hAnsi="宋体" w:eastAsia="宋体" w:cs="宋体"/>
          <w:b/>
          <w:bCs/>
          <w:lang w:val="en-US" w:eastAsia="zh-CN"/>
        </w:rPr>
        <w:t>（三）研究内容的展开</w:t>
      </w:r>
    </w:p>
    <w:p w14:paraId="48A95A2D">
      <w:pPr>
        <w:numPr>
          <w:ilvl w:val="0"/>
          <w:numId w:val="0"/>
        </w:numPr>
        <w:ind w:firstLine="420"/>
        <w:rPr>
          <w:rFonts w:hint="eastAsia" w:ascii="宋体" w:hAnsi="宋体" w:eastAsia="宋体" w:cs="宋体"/>
          <w:lang w:val="en-US" w:eastAsia="zh-CN"/>
        </w:rPr>
      </w:pPr>
      <w:r>
        <w:rPr>
          <w:rFonts w:hint="eastAsia" w:ascii="宋体" w:hAnsi="宋体" w:eastAsia="宋体" w:cs="宋体"/>
          <w:lang w:val="en-US" w:eastAsia="zh-CN"/>
        </w:rPr>
        <w:t>围绕课题研究目标内容，我们先进行了文献查阅，分析了文献内涵，了解了国内外研究动态，明确了我组构建语文阅读教学评价体系的价值，从校本课程资源开发、实施指导意见及课程评价等方面同步研究，分析了语文阅读教学评价体系建构的策略。</w:t>
      </w:r>
    </w:p>
    <w:p w14:paraId="3571F7A5">
      <w:pPr>
        <w:ind w:firstLine="422" w:firstLineChars="20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w:t>
      </w:r>
      <w:r>
        <w:rPr>
          <w:rFonts w:hint="eastAsia" w:ascii="宋体" w:hAnsi="宋体" w:eastAsia="宋体" w:cs="宋体"/>
          <w:b/>
          <w:bCs/>
          <w:lang w:val="en-US" w:eastAsia="zh-CN"/>
        </w:rPr>
        <w:t>语文阅读教学评价体系</w:t>
      </w:r>
      <w:r>
        <w:rPr>
          <w:rFonts w:hint="eastAsia" w:ascii="宋体" w:hAnsi="宋体" w:eastAsia="宋体" w:cs="宋体"/>
          <w:b/>
          <w:bCs/>
        </w:rPr>
        <w:t>的研究</w:t>
      </w:r>
    </w:p>
    <w:p w14:paraId="2F87E369">
      <w:pPr>
        <w:numPr>
          <w:ilvl w:val="0"/>
          <w:numId w:val="0"/>
        </w:numPr>
        <w:ind w:firstLine="420"/>
        <w:rPr>
          <w:rFonts w:hint="eastAsia" w:ascii="宋体" w:hAnsi="宋体" w:eastAsia="宋体" w:cs="宋体"/>
          <w:b w:val="0"/>
          <w:bCs w:val="0"/>
          <w:lang w:val="en-US" w:eastAsia="zh-CN"/>
        </w:rPr>
      </w:pPr>
      <w:r>
        <w:rPr>
          <w:rFonts w:hint="eastAsia" w:ascii="宋体" w:hAnsi="宋体" w:eastAsia="宋体" w:cs="宋体"/>
          <w:b w:val="0"/>
          <w:bCs w:val="0"/>
          <w:lang w:val="en-US" w:eastAsia="zh-CN"/>
        </w:rPr>
        <w:t>（1）文献查找</w:t>
      </w:r>
    </w:p>
    <w:p w14:paraId="6D2BFAAD">
      <w:pPr>
        <w:numPr>
          <w:ilvl w:val="0"/>
          <w:numId w:val="0"/>
        </w:numPr>
        <w:ind w:firstLine="420"/>
        <w:rPr>
          <w:rFonts w:hint="eastAsia"/>
          <w:lang w:val="en-US" w:eastAsia="zh-CN"/>
        </w:rPr>
      </w:pPr>
      <w:r>
        <w:rPr>
          <w:rFonts w:hint="eastAsia"/>
          <w:lang w:val="en-US" w:eastAsia="zh-CN"/>
        </w:rPr>
        <w:t>在课题初期，我组通过知网，查阅了关于“语文阅读教学”和“教学评价体系”的相关文献，进行了数据整理，形成了自己的认识。</w:t>
      </w:r>
    </w:p>
    <w:tbl>
      <w:tblPr>
        <w:tblStyle w:val="7"/>
        <w:tblpPr w:leftFromText="180" w:rightFromText="180" w:vertAnchor="text" w:horzAnchor="page" w:tblpX="1985" w:tblpY="350"/>
        <w:tblOverlap w:val="never"/>
        <w:tblW w:w="8522" w:type="dxa"/>
        <w:tblInd w:w="0" w:type="dxa"/>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Layout w:type="fixed"/>
        <w:tblCellMar>
          <w:top w:w="0" w:type="dxa"/>
          <w:left w:w="108" w:type="dxa"/>
          <w:bottom w:w="0" w:type="dxa"/>
          <w:right w:w="108" w:type="dxa"/>
        </w:tblCellMar>
      </w:tblPr>
      <w:tblGrid>
        <w:gridCol w:w="1861"/>
        <w:gridCol w:w="3820"/>
        <w:gridCol w:w="2841"/>
      </w:tblGrid>
      <w:tr w14:paraId="21157ED5">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932" w:hRule="atLeast"/>
        </w:trPr>
        <w:tc>
          <w:tcPr>
            <w:tcW w:w="1861" w:type="dxa"/>
            <w:tcBorders>
              <w:tl2br w:val="nil"/>
              <w:tr2bl w:val="nil"/>
            </w:tcBorders>
            <w:vAlign w:val="center"/>
          </w:tcPr>
          <w:p w14:paraId="743E3EE6">
            <w:pPr>
              <w:ind w:firstLine="420" w:firstLineChars="200"/>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22225</wp:posOffset>
                      </wp:positionV>
                      <wp:extent cx="1169035" cy="594995"/>
                      <wp:effectExtent l="3175" t="5715" r="8890" b="8890"/>
                      <wp:wrapNone/>
                      <wp:docPr id="13" name="直接连接符 13"/>
                      <wp:cNvGraphicFramePr/>
                      <a:graphic xmlns:a="http://schemas.openxmlformats.org/drawingml/2006/main">
                        <a:graphicData uri="http://schemas.microsoft.com/office/word/2010/wordprocessingShape">
                          <wps:wsp>
                            <wps:cNvCnPr/>
                            <wps:spPr>
                              <a:xfrm flipH="1" flipV="1">
                                <a:off x="1103630" y="1563370"/>
                                <a:ext cx="1169035" cy="59499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4.05pt;margin-top:1.75pt;height:46.85pt;width:92.05pt;z-index:251661312;mso-width-relative:page;mso-height-relative:page;" filled="f" stroked="t" coordsize="21600,21600" o:gfxdata="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35XPZAAAABwEAAA8AAAAAAAAAAQAgAAAAIgAAAGRy&#10;cy9kb3ducmV2LnhtbFBLAQIUABQAAAAIAIdO4kC++ehnBAIAAOcDAAAOAAAAAAAAAAEAIAAAACgB&#10;AABkcnMvZTJvRG9jLnhtbFBLBQYAAAAABgAGAFkBAACeBQAAAAA=&#10;">
                      <v:fill on="f" focussize="0,0"/>
                      <v:stroke weight="1pt" color="#000000" miterlimit="8" joinstyle="miter"/>
                      <v:imagedata o:title=""/>
                      <o:lock v:ext="edit" aspectratio="f"/>
                    </v:line>
                  </w:pict>
                </mc:Fallback>
              </mc:AlternateContent>
            </w:r>
            <w:r>
              <w:rPr>
                <w:rFonts w:asciiTheme="majorEastAsia" w:hAnsiTheme="majorEastAsia" w:eastAsiaTheme="majorEastAsia" w:cstheme="majorEastAsia"/>
                <w:szCs w:val="21"/>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173990</wp:posOffset>
                      </wp:positionV>
                      <wp:extent cx="476250" cy="5041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76250" cy="504190"/>
                              </a:xfrm>
                              <a:prstGeom prst="rect">
                                <a:avLst/>
                              </a:prstGeom>
                              <a:noFill/>
                              <a:ln w="6350">
                                <a:noFill/>
                              </a:ln>
                              <a:effectLst/>
                            </wps:spPr>
                            <wps:txbx>
                              <w:txbxContent>
                                <w:p w14:paraId="5B8C4436">
                                  <w:r>
                                    <w:rPr>
                                      <w:rFonts w:hint="eastAsia"/>
                                    </w:rPr>
                                    <w:t>研究对象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13.7pt;height:39.7pt;width:37.5pt;z-index:251660288;mso-width-relative:page;mso-height-relative:page;" filled="f" stroked="f" coordsize="21600,21600" o:gfxdata="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jDeyNkAAAAIAQAADwAAAAAAAAABACAAAAAiAAAA&#10;ZHJzL2Rvd25yZXYueG1sUEsBAhQAFAAAAAgAh07iQEEZNwQ/AgAAdQQAAA4AAAAAAAAAAQAgAAAA&#10;KAEAAGRycy9lMm9Eb2MueG1sUEsFBgAAAAAGAAYAWQEAANkFAAAAAA==&#10;">
                      <v:fill on="f" focussize="0,0"/>
                      <v:stroke on="f" weight="0.5pt"/>
                      <v:imagedata o:title=""/>
                      <o:lock v:ext="edit" aspectratio="f"/>
                      <v:textbox>
                        <w:txbxContent>
                          <w:p w14:paraId="5B8C4436">
                            <w:r>
                              <w:rPr>
                                <w:rFonts w:hint="eastAsia"/>
                              </w:rPr>
                              <w:t>研究对象</w:t>
                            </w:r>
                          </w:p>
                        </w:txbxContent>
                      </v:textbox>
                    </v:shape>
                  </w:pict>
                </mc:Fallback>
              </mc:AlternateContent>
            </w:r>
            <w:r>
              <w:rPr>
                <w:rFonts w:asciiTheme="majorEastAsia" w:hAnsiTheme="majorEastAsia" w:eastAsiaTheme="majorEastAsia" w:cstheme="majorEastAsia"/>
                <w:szCs w:val="21"/>
              </w:rPr>
              <mc:AlternateContent>
                <mc:Choice Requires="wps">
                  <w:drawing>
                    <wp:anchor distT="0" distB="0" distL="114300" distR="114300" simplePos="0" relativeHeight="251659264" behindDoc="0" locked="0" layoutInCell="1" allowOverlap="1">
                      <wp:simplePos x="0" y="0"/>
                      <wp:positionH relativeFrom="column">
                        <wp:posOffset>484505</wp:posOffset>
                      </wp:positionH>
                      <wp:positionV relativeFrom="paragraph">
                        <wp:posOffset>69215</wp:posOffset>
                      </wp:positionV>
                      <wp:extent cx="571500" cy="314325"/>
                      <wp:effectExtent l="0" t="0" r="0" b="0"/>
                      <wp:wrapNone/>
                      <wp:docPr id="12" name="文本框 12"/>
                      <wp:cNvGraphicFramePr/>
                      <a:graphic xmlns:a="http://schemas.openxmlformats.org/drawingml/2006/main">
                        <a:graphicData uri="http://schemas.microsoft.com/office/word/2010/wordprocessingShape">
                          <wps:wsp>
                            <wps:cNvSpPr txBox="1"/>
                            <wps:spPr>
                              <a:xfrm>
                                <a:off x="1570355" y="1811020"/>
                                <a:ext cx="571500" cy="314325"/>
                              </a:xfrm>
                              <a:prstGeom prst="rect">
                                <a:avLst/>
                              </a:prstGeom>
                              <a:noFill/>
                              <a:ln w="6350">
                                <a:noFill/>
                              </a:ln>
                              <a:effectLst/>
                            </wps:spPr>
                            <wps:txbx>
                              <w:txbxContent>
                                <w:p w14:paraId="704411F6">
                                  <w:r>
                                    <w:rPr>
                                      <w:rFonts w:hint="eastAsia"/>
                                    </w:rPr>
                                    <w:t>数据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5pt;margin-top:5.45pt;height:24.75pt;width:45pt;z-index:251659264;mso-width-relative:page;mso-height-relative:page;" filled="f" stroked="f" coordsize="21600,21600" o:gfxdata="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EFiedgAAAAIAQAADwAAAAAA&#10;AAABACAAAAAiAAAAZHJzL2Rvd25yZXYueG1sUEsBAhQAFAAAAAgAh07iQP2GynFMAgAAgQQAAA4A&#10;AAAAAAAAAQAgAAAAJwEAAGRycy9lMm9Eb2MueG1sUEsFBgAAAAAGAAYAWQEAAOUFAAAAAA==&#10;">
                      <v:fill on="f" focussize="0,0"/>
                      <v:stroke on="f" weight="0.5pt"/>
                      <v:imagedata o:title=""/>
                      <o:lock v:ext="edit" aspectratio="f"/>
                      <v:textbox>
                        <w:txbxContent>
                          <w:p w14:paraId="704411F6">
                            <w:r>
                              <w:rPr>
                                <w:rFonts w:hint="eastAsia"/>
                              </w:rPr>
                              <w:t>数据</w:t>
                            </w:r>
                          </w:p>
                        </w:txbxContent>
                      </v:textbox>
                    </v:shape>
                  </w:pict>
                </mc:Fallback>
              </mc:AlternateContent>
            </w:r>
          </w:p>
        </w:tc>
        <w:tc>
          <w:tcPr>
            <w:tcW w:w="3820" w:type="dxa"/>
            <w:tcBorders>
              <w:tl2br w:val="nil"/>
              <w:tr2bl w:val="nil"/>
            </w:tcBorders>
            <w:vAlign w:val="center"/>
          </w:tcPr>
          <w:p w14:paraId="08FA9D7A">
            <w:pPr>
              <w:ind w:firstLine="420" w:firstLineChars="2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总篇数（篇）</w:t>
            </w:r>
          </w:p>
        </w:tc>
        <w:tc>
          <w:tcPr>
            <w:tcW w:w="2841" w:type="dxa"/>
            <w:tcBorders>
              <w:tl2br w:val="nil"/>
              <w:tr2bl w:val="nil"/>
            </w:tcBorders>
            <w:vAlign w:val="center"/>
          </w:tcPr>
          <w:p w14:paraId="2A2FFDA6">
            <w:pPr>
              <w:ind w:firstLine="420" w:firstLineChars="2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核心期刊（篇）</w:t>
            </w:r>
          </w:p>
        </w:tc>
      </w:tr>
      <w:tr w14:paraId="7351FBDC">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662" w:hRule="atLeast"/>
        </w:trPr>
        <w:tc>
          <w:tcPr>
            <w:tcW w:w="1861" w:type="dxa"/>
            <w:tcBorders>
              <w:tl2br w:val="nil"/>
              <w:tr2bl w:val="nil"/>
            </w:tcBorders>
            <w:vAlign w:val="center"/>
          </w:tcPr>
          <w:p w14:paraId="433FAB57">
            <w:pPr>
              <w:jc w:val="center"/>
              <w:rPr>
                <w:rFonts w:hint="default" w:asciiTheme="majorEastAsia" w:hAnsiTheme="majorEastAsia" w:eastAsiaTheme="majorEastAsia" w:cstheme="majorEastAsia"/>
                <w:szCs w:val="21"/>
                <w:lang w:val="en-US"/>
              </w:rPr>
            </w:pPr>
            <w:r>
              <w:rPr>
                <w:rFonts w:hint="eastAsia"/>
                <w:lang w:val="en-US" w:eastAsia="zh-CN"/>
              </w:rPr>
              <w:t>语文阅读教学</w:t>
            </w:r>
          </w:p>
        </w:tc>
        <w:tc>
          <w:tcPr>
            <w:tcW w:w="3820" w:type="dxa"/>
            <w:tcBorders>
              <w:tl2br w:val="nil"/>
              <w:tr2bl w:val="nil"/>
            </w:tcBorders>
            <w:vAlign w:val="center"/>
          </w:tcPr>
          <w:p w14:paraId="7DE9FC57">
            <w:pPr>
              <w:ind w:firstLine="420" w:firstLineChars="200"/>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1029</w:t>
            </w:r>
          </w:p>
        </w:tc>
        <w:tc>
          <w:tcPr>
            <w:tcW w:w="2841" w:type="dxa"/>
            <w:tcBorders>
              <w:tl2br w:val="nil"/>
              <w:tr2bl w:val="nil"/>
            </w:tcBorders>
            <w:vAlign w:val="center"/>
          </w:tcPr>
          <w:p w14:paraId="0775B7A1">
            <w:pPr>
              <w:ind w:firstLine="420" w:firstLineChars="200"/>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186</w:t>
            </w:r>
          </w:p>
        </w:tc>
      </w:tr>
      <w:tr w14:paraId="29A27B42">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647" w:hRule="atLeast"/>
        </w:trPr>
        <w:tc>
          <w:tcPr>
            <w:tcW w:w="1861" w:type="dxa"/>
            <w:tcBorders>
              <w:tl2br w:val="nil"/>
              <w:tr2bl w:val="nil"/>
            </w:tcBorders>
            <w:vAlign w:val="center"/>
          </w:tcPr>
          <w:p w14:paraId="3180C818">
            <w:pPr>
              <w:ind w:firstLine="210" w:firstLineChars="100"/>
              <w:jc w:val="both"/>
              <w:rPr>
                <w:rFonts w:hint="default" w:asciiTheme="majorEastAsia" w:hAnsiTheme="majorEastAsia" w:eastAsiaTheme="majorEastAsia" w:cstheme="majorEastAsia"/>
                <w:szCs w:val="21"/>
                <w:lang w:val="en-US"/>
              </w:rPr>
            </w:pPr>
            <w:r>
              <w:rPr>
                <w:rFonts w:hint="eastAsia"/>
                <w:lang w:val="en-US" w:eastAsia="zh-CN"/>
              </w:rPr>
              <w:t>教学评价体系</w:t>
            </w:r>
          </w:p>
        </w:tc>
        <w:tc>
          <w:tcPr>
            <w:tcW w:w="3820" w:type="dxa"/>
            <w:tcBorders>
              <w:tl2br w:val="nil"/>
              <w:tr2bl w:val="nil"/>
            </w:tcBorders>
            <w:vAlign w:val="center"/>
          </w:tcPr>
          <w:p w14:paraId="1590569A">
            <w:pPr>
              <w:ind w:firstLine="420" w:firstLineChars="200"/>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853</w:t>
            </w:r>
          </w:p>
        </w:tc>
        <w:tc>
          <w:tcPr>
            <w:tcW w:w="2841" w:type="dxa"/>
            <w:tcBorders>
              <w:tl2br w:val="nil"/>
              <w:tr2bl w:val="nil"/>
            </w:tcBorders>
            <w:vAlign w:val="center"/>
          </w:tcPr>
          <w:p w14:paraId="2B68285E">
            <w:pPr>
              <w:ind w:firstLine="420" w:firstLineChars="200"/>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79</w:t>
            </w:r>
          </w:p>
        </w:tc>
      </w:tr>
    </w:tbl>
    <w:p w14:paraId="39B4E93D">
      <w:pPr>
        <w:rPr>
          <w:rFonts w:hint="eastAsia" w:asciiTheme="majorEastAsia" w:hAnsiTheme="majorEastAsia" w:eastAsiaTheme="majorEastAsia" w:cstheme="majorEastAsia"/>
          <w:b w:val="0"/>
          <w:bCs w:val="0"/>
          <w:szCs w:val="21"/>
        </w:rPr>
      </w:pPr>
    </w:p>
    <w:p w14:paraId="7A70257E">
      <w:pPr>
        <w:ind w:firstLine="420" w:firstLineChars="200"/>
        <w:rPr>
          <w:rFonts w:asciiTheme="majorEastAsia" w:hAnsiTheme="majorEastAsia" w:eastAsiaTheme="majorEastAsia" w:cstheme="majorEastAsia"/>
          <w:b w:val="0"/>
          <w:bCs w:val="0"/>
          <w:szCs w:val="21"/>
        </w:rPr>
      </w:pPr>
      <w:r>
        <w:rPr>
          <w:rFonts w:hint="eastAsia" w:asciiTheme="majorEastAsia" w:hAnsiTheme="majorEastAsia" w:eastAsiaTheme="majorEastAsia" w:cstheme="majorEastAsia"/>
          <w:b w:val="0"/>
          <w:bCs w:val="0"/>
          <w:szCs w:val="21"/>
          <w:lang w:val="en-US" w:eastAsia="zh-CN"/>
        </w:rPr>
        <w:t>（2）</w:t>
      </w:r>
      <w:r>
        <w:rPr>
          <w:rFonts w:hint="eastAsia" w:asciiTheme="majorEastAsia" w:hAnsiTheme="majorEastAsia" w:eastAsiaTheme="majorEastAsia" w:cstheme="majorEastAsia"/>
          <w:b w:val="0"/>
          <w:bCs w:val="0"/>
          <w:szCs w:val="21"/>
        </w:rPr>
        <w:t>文献分析</w:t>
      </w:r>
    </w:p>
    <w:p w14:paraId="24E729C8">
      <w:pPr>
        <w:numPr>
          <w:ilvl w:val="0"/>
          <w:numId w:val="0"/>
        </w:numPr>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陈日亮在《陈日亮阅读教学‘语言形式’论要义探析》中强调语言形式的揣摩与品味，认为这是语文学科的根本。其“三以”教法（以语言解篇章、以语言析形象、以语言悟情感）将工具性与人文性统一。回归语文本体，从“教课文”转向“教语文”，提供了扎实的文本解读路径。他的《深度教学理念下语文阅读能力提升策略》一文针对阅读浅层化问题，提出通过深度教学情境创设、深度教学材料投放和深度教学问题设计来引导学生超越表层信息，走向高阶思维，将深度教学理论与语文阅读具体融合，关注学生的思维深度与阅读品质。</w:t>
      </w:r>
    </w:p>
    <w:p w14:paraId="174AC4F2">
      <w:pPr>
        <w:numPr>
          <w:ilvl w:val="0"/>
          <w:numId w:val="0"/>
        </w:numPr>
        <w:ind w:firstLine="420"/>
        <w:rPr>
          <w:rFonts w:hint="eastAsia" w:ascii="宋体" w:hAnsi="宋体" w:eastAsia="宋体" w:cs="宋体"/>
          <w:b w:val="0"/>
          <w:bCs w:val="0"/>
          <w:lang w:val="en-US" w:eastAsia="zh-CN"/>
        </w:rPr>
      </w:pPr>
      <w:r>
        <w:rPr>
          <w:rFonts w:hint="eastAsia" w:ascii="宋体" w:hAnsi="宋体" w:eastAsia="宋体" w:cs="宋体"/>
          <w:b w:val="0"/>
          <w:bCs w:val="0"/>
          <w:lang w:val="en-US" w:eastAsia="zh-CN"/>
        </w:rPr>
        <w:t>项纯、郝志军在《基础教育评价改革的趋势、困境与进路》中指出当前评价存在“盲目求全、过度求量、机械求多”等误区，提出构建“教学评一体化”微循环，推动素养本位的考试命题转型。他们从宏观系统视角切入，直击评价改革痛点，强调“教、学、评”的协同性与一致性。</w:t>
      </w:r>
    </w:p>
    <w:p w14:paraId="49A64133">
      <w:pPr>
        <w:numPr>
          <w:ilvl w:val="0"/>
          <w:numId w:val="0"/>
        </w:numPr>
        <w:ind w:firstLine="420"/>
        <w:rPr>
          <w:rFonts w:hint="eastAsia" w:ascii="宋体" w:hAnsi="宋体" w:eastAsia="宋体" w:cs="宋体"/>
          <w:b w:val="0"/>
          <w:bCs w:val="0"/>
          <w:lang w:val="en-US" w:eastAsia="zh-CN"/>
        </w:rPr>
      </w:pPr>
      <w:r>
        <w:rPr>
          <w:rFonts w:hint="eastAsia" w:ascii="宋体" w:hAnsi="宋体" w:eastAsia="宋体" w:cs="宋体"/>
          <w:b w:val="0"/>
          <w:bCs w:val="0"/>
          <w:lang w:val="en-US" w:eastAsia="zh-CN"/>
        </w:rPr>
        <w:t>燕学敏则在《中小学课堂差异教学评价体系的建构与反思》中构建了涵盖学情诊断、认知目标、思维结构、情感态度的差异教学评价体系，强调诊断性评价贯穿全程，并探索“差异测试+多元评价”方式。她提倡关注学生个体差异，引入思维评价，力图使评价更精准、更公平。</w:t>
      </w:r>
    </w:p>
    <w:p w14:paraId="58C253D4">
      <w:pPr>
        <w:numPr>
          <w:ilvl w:val="0"/>
          <w:numId w:val="0"/>
        </w:numPr>
        <w:ind w:firstLine="420"/>
        <w:rPr>
          <w:rFonts w:hint="eastAsia" w:ascii="宋体" w:hAnsi="宋体" w:eastAsia="宋体" w:cs="宋体"/>
          <w:b w:val="0"/>
          <w:bCs w:val="0"/>
          <w:lang w:val="en-US" w:eastAsia="zh-CN"/>
        </w:rPr>
      </w:pPr>
      <w:r>
        <w:rPr>
          <w:rFonts w:hint="eastAsia" w:ascii="宋体" w:hAnsi="宋体" w:eastAsia="宋体" w:cs="宋体"/>
          <w:b w:val="0"/>
          <w:bCs w:val="0"/>
          <w:lang w:val="en-US" w:eastAsia="zh-CN"/>
        </w:rPr>
        <w:t>（3）总结提炼</w:t>
      </w:r>
    </w:p>
    <w:p w14:paraId="3B0B5481">
      <w:pPr>
        <w:numPr>
          <w:ilvl w:val="0"/>
          <w:numId w:val="0"/>
        </w:numPr>
        <w:ind w:firstLine="420"/>
        <w:rPr>
          <w:rFonts w:hint="eastAsia"/>
          <w:b w:val="0"/>
          <w:bCs w:val="0"/>
          <w:lang w:val="en-US" w:eastAsia="zh-CN"/>
        </w:rPr>
      </w:pPr>
      <w:r>
        <w:rPr>
          <w:rFonts w:hint="eastAsia"/>
          <w:b w:val="0"/>
          <w:bCs w:val="0"/>
          <w:lang w:val="en-US" w:eastAsia="zh-CN"/>
        </w:rPr>
        <w:t>未来的语文阅读教学评价，需要将陈日亮老师对语言形式的精深把握与项纯等人倡导的“教学评一体化”系统思维相结合，让评价嵌入教学全过程。可以借鉴智能评价框架，在语文阅读教学中尝试构建动态评价模型。例如，利用学习分析技术追踪学生的阅读路径、批注行为、讨论参与度等，实现对阅读能力发展的过程性、可视化评估。在构建评价体系时，不能只关注技术和方法，更要思考其背后的理论支撑和价值取向。例如，在设计“批判性阅读”的评价标准时，应明确其理论依据，并据此设计能有效引发和捕捉相应思维过程的评价任务。</w:t>
      </w:r>
    </w:p>
    <w:p w14:paraId="2316E8E2">
      <w:pPr>
        <w:numPr>
          <w:ilvl w:val="0"/>
          <w:numId w:val="0"/>
        </w:numPr>
        <w:rPr>
          <w:rFonts w:hint="default"/>
          <w:bCs/>
          <w:szCs w:val="21"/>
          <w:lang w:val="en-US" w:eastAsia="zh-CN"/>
        </w:rPr>
      </w:pPr>
      <w:r>
        <w:rPr>
          <w:rFonts w:hint="eastAsia"/>
          <w:b w:val="0"/>
          <w:bCs w:val="0"/>
          <w:lang w:val="en-US" w:eastAsia="zh-CN"/>
        </w:rPr>
        <w:t>语文阅读教学评价还需充分尊重学生的个体差异。在保证基础目标达成的前提下，可以设计分层级的阅读任务和评价标准，运用多元评价方法，让每个学生都能在原有基础上获得认可和提升。</w:t>
      </w:r>
    </w:p>
    <w:p w14:paraId="03F71643">
      <w:pPr>
        <w:ind w:firstLine="422" w:firstLineChars="200"/>
        <w:rPr>
          <w:rFonts w:hint="eastAsia"/>
          <w:b/>
          <w:szCs w:val="21"/>
        </w:rPr>
      </w:pPr>
    </w:p>
    <w:p w14:paraId="3F9A21D7">
      <w:pPr>
        <w:rPr>
          <w:b/>
          <w:szCs w:val="21"/>
        </w:rPr>
      </w:pPr>
      <w:r>
        <w:rPr>
          <w:rFonts w:hint="eastAsia"/>
          <w:b/>
          <w:szCs w:val="21"/>
        </w:rPr>
        <w:t>三、收获与成果</w:t>
      </w:r>
    </w:p>
    <w:p w14:paraId="04DF8C6E">
      <w:pPr>
        <w:ind w:firstLine="422" w:firstLineChars="200"/>
        <w:rPr>
          <w:rFonts w:hint="eastAsia" w:ascii="宋体" w:hAnsi="宋体" w:eastAsia="宋体" w:cs="宋体"/>
          <w:b/>
          <w:szCs w:val="21"/>
        </w:rPr>
      </w:pPr>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lang w:eastAsia="zh-CN"/>
        </w:rPr>
        <w:t>）</w:t>
      </w:r>
      <w:r>
        <w:rPr>
          <w:rFonts w:hint="eastAsia" w:ascii="宋体" w:hAnsi="宋体" w:eastAsia="宋体" w:cs="宋体"/>
          <w:b/>
          <w:szCs w:val="21"/>
        </w:rPr>
        <w:t>理论成果</w:t>
      </w:r>
    </w:p>
    <w:p w14:paraId="01E71591">
      <w:pPr>
        <w:ind w:firstLine="420" w:firstLineChars="200"/>
        <w:rPr>
          <w:rFonts w:hint="eastAsia" w:ascii="宋体" w:hAnsi="宋体" w:eastAsia="宋体" w:cs="宋体"/>
          <w:b w:val="0"/>
          <w:bCs/>
          <w:szCs w:val="21"/>
        </w:rPr>
      </w:pPr>
      <w:r>
        <w:rPr>
          <w:rFonts w:hint="eastAsia" w:ascii="宋体" w:hAnsi="宋体" w:eastAsia="宋体" w:cs="宋体"/>
          <w:b w:val="0"/>
          <w:bCs/>
          <w:szCs w:val="21"/>
        </w:rPr>
        <w:t>1.形成了对</w:t>
      </w:r>
      <w:r>
        <w:rPr>
          <w:rFonts w:hint="eastAsia" w:ascii="宋体" w:hAnsi="宋体" w:eastAsia="宋体" w:cs="宋体"/>
          <w:b w:val="0"/>
          <w:bCs/>
          <w:szCs w:val="21"/>
          <w:lang w:val="en-US" w:eastAsia="zh-CN"/>
        </w:rPr>
        <w:t>语文阅读教学评价体系</w:t>
      </w:r>
      <w:r>
        <w:rPr>
          <w:rFonts w:hint="eastAsia" w:ascii="宋体" w:hAnsi="宋体" w:eastAsia="宋体" w:cs="宋体"/>
          <w:b w:val="0"/>
          <w:bCs/>
          <w:szCs w:val="21"/>
        </w:rPr>
        <w:t>的理性认识</w:t>
      </w:r>
    </w:p>
    <w:p w14:paraId="084E030E">
      <w:pPr>
        <w:numPr>
          <w:ilvl w:val="0"/>
          <w:numId w:val="0"/>
        </w:numPr>
        <w:ind w:leftChars="0" w:firstLine="420"/>
        <w:rPr>
          <w:rFonts w:hint="eastAsia" w:ascii="宋体" w:hAnsi="宋体" w:eastAsia="宋体" w:cs="宋体"/>
          <w:bCs/>
          <w:szCs w:val="21"/>
        </w:rPr>
      </w:pPr>
      <w:r>
        <w:rPr>
          <w:rFonts w:hint="eastAsia" w:ascii="宋体" w:hAnsi="宋体" w:eastAsia="宋体" w:cs="宋体"/>
          <w:bCs/>
          <w:szCs w:val="21"/>
        </w:rPr>
        <w:t>我们课题组成员</w:t>
      </w:r>
      <w:r>
        <w:rPr>
          <w:rFonts w:hint="eastAsia" w:ascii="宋体" w:hAnsi="宋体" w:eastAsia="宋体" w:cs="宋体"/>
          <w:bCs/>
          <w:szCs w:val="21"/>
          <w:lang w:val="en-US" w:eastAsia="zh-CN"/>
        </w:rPr>
        <w:t>自课题开题后</w:t>
      </w:r>
      <w:r>
        <w:rPr>
          <w:rFonts w:hint="eastAsia" w:ascii="宋体" w:hAnsi="宋体" w:eastAsia="宋体" w:cs="宋体"/>
          <w:bCs/>
          <w:szCs w:val="21"/>
        </w:rPr>
        <w:t>精心</w:t>
      </w:r>
      <w:r>
        <w:rPr>
          <w:rFonts w:hint="eastAsia" w:ascii="宋体" w:hAnsi="宋体" w:eastAsia="宋体" w:cs="宋体"/>
          <w:bCs/>
          <w:szCs w:val="21"/>
          <w:lang w:val="en-US" w:eastAsia="zh-CN"/>
        </w:rPr>
        <w:t>备课，</w:t>
      </w:r>
      <w:r>
        <w:rPr>
          <w:rFonts w:hint="eastAsia" w:ascii="宋体" w:hAnsi="宋体" w:eastAsia="宋体" w:cs="宋体"/>
          <w:bCs/>
          <w:szCs w:val="21"/>
        </w:rPr>
        <w:t>设计课题研究方案。</w:t>
      </w:r>
      <w:r>
        <w:rPr>
          <w:rFonts w:hint="eastAsia" w:ascii="宋体" w:hAnsi="宋体" w:eastAsia="宋体" w:cs="宋体"/>
          <w:bCs/>
          <w:szCs w:val="21"/>
          <w:lang w:eastAsia="zh-CN"/>
        </w:rPr>
        <w:t>一</w:t>
      </w:r>
      <w:r>
        <w:rPr>
          <w:rFonts w:hint="eastAsia" w:ascii="宋体" w:hAnsi="宋体" w:eastAsia="宋体" w:cs="宋体"/>
          <w:bCs/>
          <w:szCs w:val="21"/>
        </w:rPr>
        <w:t>年中，我们紧紧围绕课题展开了探索和实践，形成了</w:t>
      </w:r>
      <w:r>
        <w:rPr>
          <w:rFonts w:hint="eastAsia" w:ascii="宋体" w:hAnsi="宋体" w:eastAsia="宋体" w:cs="宋体"/>
          <w:bCs/>
          <w:szCs w:val="21"/>
          <w:lang w:val="en-US" w:eastAsia="zh-CN"/>
        </w:rPr>
        <w:t>对语文阅读教学评价体系的</w:t>
      </w:r>
      <w:r>
        <w:rPr>
          <w:rFonts w:hint="eastAsia" w:ascii="宋体" w:hAnsi="宋体" w:eastAsia="宋体" w:cs="宋体"/>
          <w:bCs/>
          <w:szCs w:val="21"/>
        </w:rPr>
        <w:t>理性认识：</w:t>
      </w:r>
    </w:p>
    <w:p w14:paraId="42C30EB4">
      <w:pPr>
        <w:numPr>
          <w:ilvl w:val="0"/>
          <w:numId w:val="0"/>
        </w:numPr>
        <w:ind w:leftChars="0" w:firstLine="420"/>
        <w:rPr>
          <w:rFonts w:hint="eastAsia" w:ascii="宋体" w:hAnsi="宋体" w:eastAsia="宋体" w:cs="宋体"/>
          <w:bCs/>
          <w:szCs w:val="21"/>
        </w:rPr>
      </w:pPr>
      <w:r>
        <w:rPr>
          <w:rFonts w:hint="eastAsia" w:ascii="宋体" w:hAnsi="宋体" w:eastAsia="宋体" w:cs="宋体"/>
          <w:bCs/>
          <w:szCs w:val="21"/>
        </w:rPr>
        <w:t>通过系统研究，我们确立了</w:t>
      </w:r>
      <w:r>
        <w:rPr>
          <w:rFonts w:hint="eastAsia" w:ascii="宋体" w:hAnsi="宋体" w:eastAsia="宋体" w:cs="宋体"/>
          <w:bCs/>
          <w:szCs w:val="21"/>
          <w:lang w:eastAsia="zh-CN"/>
        </w:rPr>
        <w:t>“</w:t>
      </w:r>
      <w:r>
        <w:rPr>
          <w:rFonts w:hint="eastAsia" w:ascii="宋体" w:hAnsi="宋体" w:eastAsia="宋体" w:cs="宋体"/>
          <w:bCs/>
          <w:szCs w:val="21"/>
        </w:rPr>
        <w:t>教—学—评</w:t>
      </w:r>
      <w:r>
        <w:rPr>
          <w:rFonts w:hint="eastAsia" w:ascii="宋体" w:hAnsi="宋体" w:eastAsia="宋体" w:cs="宋体"/>
          <w:bCs/>
          <w:szCs w:val="21"/>
          <w:lang w:eastAsia="zh-CN"/>
        </w:rPr>
        <w:t>”</w:t>
      </w:r>
      <w:r>
        <w:rPr>
          <w:rFonts w:hint="eastAsia" w:ascii="宋体" w:hAnsi="宋体" w:eastAsia="宋体" w:cs="宋体"/>
          <w:bCs/>
          <w:szCs w:val="21"/>
        </w:rPr>
        <w:t>一体化的理论框架，构建了以核心素养为导向的评价模型。该体系强调评价的过程性与发展性功能，注重语言建构与运用、思维发展与提升、审美鉴赏与创造、文化传承与理解四个维度的有机整合。在理论建构过程中，我们着重探讨了多元评价主体的协同机制、动态评价标准的制定原则以及评价结果的反哺作用，初步形成了具有学科特色的阅读教学评价理论体系。</w:t>
      </w:r>
    </w:p>
    <w:p w14:paraId="2C7B9662">
      <w:pPr>
        <w:numPr>
          <w:ilvl w:val="0"/>
          <w:numId w:val="0"/>
        </w:numPr>
        <w:ind w:leftChars="0" w:firstLine="420"/>
        <w:rPr>
          <w:rFonts w:hint="eastAsia" w:ascii="宋体" w:hAnsi="宋体" w:eastAsia="宋体" w:cs="宋体"/>
          <w:bCs/>
          <w:szCs w:val="21"/>
        </w:rPr>
      </w:pPr>
    </w:p>
    <w:p w14:paraId="1D5936E4">
      <w:pPr>
        <w:ind w:firstLine="422" w:firstLineChars="200"/>
        <w:rPr>
          <w:rFonts w:hint="eastAsia" w:ascii="宋体" w:hAnsi="宋体" w:eastAsia="宋体" w:cs="宋体"/>
          <w:b/>
          <w:szCs w:val="21"/>
          <w:lang w:val="en-US" w:eastAsia="zh-CN"/>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szCs w:val="21"/>
          <w:lang w:val="en-US" w:eastAsia="zh-CN"/>
        </w:rPr>
        <w:t>实践探索</w:t>
      </w:r>
    </w:p>
    <w:p w14:paraId="2FCD0BF7">
      <w:pPr>
        <w:ind w:firstLine="420" w:firstLineChars="200"/>
        <w:rPr>
          <w:rFonts w:hint="eastAsia" w:ascii="宋体" w:hAnsi="宋体" w:eastAsia="宋体" w:cs="宋体"/>
          <w:bCs/>
          <w:szCs w:val="21"/>
        </w:rPr>
      </w:pPr>
      <w:r>
        <w:rPr>
          <w:rFonts w:hint="eastAsia" w:ascii="宋体" w:hAnsi="宋体" w:eastAsia="宋体" w:cs="宋体"/>
          <w:bCs/>
          <w:szCs w:val="21"/>
        </w:rPr>
        <w:t>一年周期内</w:t>
      </w:r>
      <w:r>
        <w:rPr>
          <w:rFonts w:hint="eastAsia" w:ascii="宋体" w:hAnsi="宋体" w:eastAsia="宋体" w:cs="宋体"/>
          <w:bCs/>
          <w:szCs w:val="21"/>
          <w:lang w:val="en-US" w:eastAsia="zh-CN"/>
        </w:rPr>
        <w:t>我们</w:t>
      </w:r>
      <w:r>
        <w:rPr>
          <w:rFonts w:hint="eastAsia" w:ascii="宋体" w:hAnsi="宋体" w:eastAsia="宋体" w:cs="宋体"/>
          <w:bCs/>
          <w:szCs w:val="21"/>
        </w:rPr>
        <w:t>开展了系统深入的实践探索。我们以课堂教学为主阵地，通过集体备课、课例研讨、案例分析等形式，先后开发了《猫》《蝉》等典型课例，在实践中不断验证和完善</w:t>
      </w:r>
      <w:r>
        <w:rPr>
          <w:rFonts w:hint="eastAsia" w:ascii="宋体" w:hAnsi="宋体" w:eastAsia="宋体" w:cs="宋体"/>
          <w:bCs/>
          <w:szCs w:val="21"/>
          <w:lang w:eastAsia="zh-CN"/>
        </w:rPr>
        <w:t>“</w:t>
      </w:r>
      <w:r>
        <w:rPr>
          <w:rFonts w:hint="eastAsia" w:ascii="宋体" w:hAnsi="宋体" w:eastAsia="宋体" w:cs="宋体"/>
          <w:bCs/>
          <w:szCs w:val="21"/>
        </w:rPr>
        <w:t>教—学—评</w:t>
      </w:r>
      <w:r>
        <w:rPr>
          <w:rFonts w:hint="eastAsia" w:ascii="宋体" w:hAnsi="宋体" w:eastAsia="宋体" w:cs="宋体"/>
          <w:bCs/>
          <w:szCs w:val="21"/>
          <w:lang w:eastAsia="zh-CN"/>
        </w:rPr>
        <w:t>”</w:t>
      </w:r>
      <w:r>
        <w:rPr>
          <w:rFonts w:hint="eastAsia" w:ascii="宋体" w:hAnsi="宋体" w:eastAsia="宋体" w:cs="宋体"/>
          <w:bCs/>
          <w:szCs w:val="21"/>
        </w:rPr>
        <w:t>一体化理念。这些探索促使我们</w:t>
      </w:r>
      <w:r>
        <w:rPr>
          <w:rFonts w:hint="eastAsia" w:ascii="宋体" w:hAnsi="宋体" w:eastAsia="宋体" w:cs="宋体"/>
          <w:bCs/>
          <w:szCs w:val="21"/>
          <w:lang w:val="en-US" w:eastAsia="zh-CN"/>
        </w:rPr>
        <w:t>认识到</w:t>
      </w:r>
      <w:r>
        <w:rPr>
          <w:rFonts w:hint="eastAsia" w:ascii="宋体" w:hAnsi="宋体" w:eastAsia="宋体" w:cs="宋体"/>
          <w:bCs/>
          <w:szCs w:val="21"/>
        </w:rPr>
        <w:t>既要关注学生的语言建构与运用，更要促进其思维发展、审美鉴赏和文化理解，最终实现以评促学、以评促教的目标。</w:t>
      </w:r>
    </w:p>
    <w:p w14:paraId="56B2669C">
      <w:pPr>
        <w:numPr>
          <w:ilvl w:val="0"/>
          <w:numId w:val="0"/>
        </w:numPr>
        <w:rPr>
          <w:rFonts w:hint="eastAsia" w:ascii="宋体" w:hAnsi="宋体" w:eastAsia="宋体" w:cs="宋体"/>
          <w:bCs/>
          <w:szCs w:val="21"/>
          <w:lang w:val="en-US" w:eastAsia="zh-CN"/>
        </w:rPr>
      </w:pPr>
    </w:p>
    <w:p w14:paraId="21D648CE">
      <w:pPr>
        <w:ind w:firstLine="422" w:firstLineChars="200"/>
        <w:rPr>
          <w:rFonts w:hint="eastAsia" w:ascii="宋体" w:hAnsi="宋体" w:eastAsia="宋体" w:cs="宋体"/>
          <w:b/>
          <w:szCs w:val="21"/>
        </w:rPr>
      </w:pPr>
      <w:r>
        <w:rPr>
          <w:rFonts w:hint="eastAsia" w:ascii="宋体" w:hAnsi="宋体" w:eastAsia="宋体" w:cs="宋体"/>
          <w:b/>
          <w:bCs/>
        </w:rPr>
        <w:t>(</w:t>
      </w:r>
      <w:r>
        <w:rPr>
          <w:rFonts w:hint="eastAsia" w:ascii="宋体" w:hAnsi="宋体" w:eastAsia="宋体" w:cs="宋体"/>
          <w:b/>
          <w:bCs/>
          <w:lang w:val="en-US" w:eastAsia="zh-CN"/>
        </w:rPr>
        <w:t>三</w:t>
      </w:r>
      <w:r>
        <w:rPr>
          <w:rFonts w:hint="eastAsia" w:ascii="宋体" w:hAnsi="宋体" w:eastAsia="宋体" w:cs="宋体"/>
          <w:b/>
          <w:bCs/>
        </w:rPr>
        <w:t>)</w:t>
      </w:r>
      <w:r>
        <w:rPr>
          <w:rFonts w:hint="eastAsia" w:ascii="宋体" w:hAnsi="宋体" w:eastAsia="宋体" w:cs="宋体"/>
          <w:b/>
          <w:szCs w:val="21"/>
        </w:rPr>
        <w:t>课程研究成果</w:t>
      </w:r>
    </w:p>
    <w:p w14:paraId="569BCC21">
      <w:pPr>
        <w:ind w:firstLine="420" w:firstLineChars="200"/>
        <w:rPr>
          <w:rFonts w:hint="eastAsia" w:ascii="宋体" w:hAnsi="宋体" w:eastAsia="宋体" w:cs="宋体"/>
          <w:bCs/>
          <w:szCs w:val="21"/>
        </w:rPr>
      </w:pPr>
      <w:r>
        <w:rPr>
          <w:rFonts w:hint="eastAsia" w:ascii="宋体" w:hAnsi="宋体" w:eastAsia="宋体" w:cs="宋体"/>
          <w:bCs/>
          <w:szCs w:val="21"/>
        </w:rPr>
        <w:t>在</w:t>
      </w:r>
      <w:r>
        <w:rPr>
          <w:rFonts w:hint="eastAsia" w:ascii="宋体" w:hAnsi="宋体" w:eastAsia="宋体" w:cs="宋体"/>
          <w:bCs/>
          <w:szCs w:val="21"/>
          <w:lang w:val="en-US" w:eastAsia="zh-CN"/>
        </w:rPr>
        <w:t>课题</w:t>
      </w:r>
      <w:r>
        <w:rPr>
          <w:rFonts w:hint="eastAsia" w:ascii="宋体" w:hAnsi="宋体" w:eastAsia="宋体" w:cs="宋体"/>
          <w:bCs/>
          <w:szCs w:val="21"/>
        </w:rPr>
        <w:t>研究的基础上，我们逐步理清思绪，明确研究方向，取得</w:t>
      </w:r>
      <w:r>
        <w:rPr>
          <w:rFonts w:hint="eastAsia" w:ascii="宋体" w:hAnsi="宋体" w:eastAsia="宋体" w:cs="宋体"/>
          <w:bCs/>
          <w:szCs w:val="21"/>
          <w:lang w:val="en-US" w:eastAsia="zh-CN"/>
        </w:rPr>
        <w:t>了</w:t>
      </w:r>
      <w:r>
        <w:rPr>
          <w:rFonts w:hint="eastAsia" w:ascii="宋体" w:hAnsi="宋体" w:eastAsia="宋体" w:cs="宋体"/>
          <w:bCs/>
          <w:szCs w:val="21"/>
        </w:rPr>
        <w:t>初浅成效。</w:t>
      </w:r>
    </w:p>
    <w:p w14:paraId="59AD2E58">
      <w:pPr>
        <w:ind w:firstLine="420" w:firstLineChars="200"/>
        <w:rPr>
          <w:rFonts w:hint="eastAsia" w:ascii="宋体" w:hAnsi="宋体" w:eastAsia="宋体" w:cs="宋体"/>
          <w:b/>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1</w:t>
      </w:r>
      <w:r>
        <w:rPr>
          <w:rFonts w:hint="eastAsia" w:ascii="宋体" w:hAnsi="宋体" w:eastAsia="宋体" w:cs="宋体"/>
          <w:bCs/>
          <w:szCs w:val="21"/>
          <w:lang w:eastAsia="zh-CN"/>
        </w:rPr>
        <w:t>）</w:t>
      </w:r>
      <w:r>
        <w:rPr>
          <w:rFonts w:hint="eastAsia" w:ascii="宋体" w:hAnsi="宋体" w:eastAsia="宋体" w:cs="宋体"/>
          <w:b w:val="0"/>
          <w:bCs/>
          <w:szCs w:val="21"/>
        </w:rPr>
        <w:t>论文</w:t>
      </w:r>
    </w:p>
    <w:tbl>
      <w:tblPr>
        <w:tblStyle w:val="7"/>
        <w:tblW w:w="9285" w:type="dxa"/>
        <w:tblInd w:w="-396"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ayout w:type="fixed"/>
        <w:tblCellMar>
          <w:top w:w="0" w:type="dxa"/>
          <w:left w:w="108" w:type="dxa"/>
          <w:bottom w:w="0" w:type="dxa"/>
          <w:right w:w="108" w:type="dxa"/>
        </w:tblCellMar>
      </w:tblPr>
      <w:tblGrid>
        <w:gridCol w:w="1080"/>
        <w:gridCol w:w="4882"/>
        <w:gridCol w:w="3323"/>
      </w:tblGrid>
      <w:tr w14:paraId="7576367C">
        <w:tblPrEx>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CellMar>
            <w:top w:w="0" w:type="dxa"/>
            <w:left w:w="108" w:type="dxa"/>
            <w:bottom w:w="0" w:type="dxa"/>
            <w:right w:w="108" w:type="dxa"/>
          </w:tblCellMar>
        </w:tblPrEx>
        <w:trPr>
          <w:trHeight w:val="90" w:hRule="atLeast"/>
        </w:trPr>
        <w:tc>
          <w:tcPr>
            <w:tcW w:w="1080" w:type="dxa"/>
            <w:tcBorders>
              <w:tl2br w:val="nil"/>
              <w:tr2bl w:val="nil"/>
            </w:tcBorders>
            <w:vAlign w:val="center"/>
          </w:tcPr>
          <w:p w14:paraId="23B7CAFA">
            <w:pPr>
              <w:jc w:val="center"/>
              <w:rPr>
                <w:rFonts w:hint="eastAsia" w:ascii="宋体" w:hAnsi="宋体" w:eastAsia="宋体" w:cs="宋体"/>
                <w:szCs w:val="21"/>
              </w:rPr>
            </w:pPr>
            <w:r>
              <w:rPr>
                <w:rFonts w:hint="eastAsia" w:ascii="宋体" w:hAnsi="宋体" w:eastAsia="宋体" w:cs="宋体"/>
                <w:szCs w:val="21"/>
              </w:rPr>
              <w:t>作者</w:t>
            </w:r>
          </w:p>
        </w:tc>
        <w:tc>
          <w:tcPr>
            <w:tcW w:w="4882" w:type="dxa"/>
            <w:tcBorders>
              <w:tl2br w:val="nil"/>
              <w:tr2bl w:val="nil"/>
            </w:tcBorders>
            <w:vAlign w:val="center"/>
          </w:tcPr>
          <w:p w14:paraId="1AFCF74B">
            <w:pPr>
              <w:jc w:val="center"/>
              <w:rPr>
                <w:rFonts w:hint="eastAsia" w:ascii="宋体" w:hAnsi="宋体" w:eastAsia="宋体" w:cs="宋体"/>
                <w:szCs w:val="21"/>
              </w:rPr>
            </w:pPr>
            <w:r>
              <w:rPr>
                <w:rFonts w:hint="eastAsia" w:ascii="宋体" w:hAnsi="宋体" w:eastAsia="宋体" w:cs="宋体"/>
                <w:szCs w:val="21"/>
              </w:rPr>
              <w:t>论文</w:t>
            </w:r>
          </w:p>
        </w:tc>
        <w:tc>
          <w:tcPr>
            <w:tcW w:w="3323" w:type="dxa"/>
            <w:tcBorders>
              <w:tl2br w:val="nil"/>
              <w:tr2bl w:val="nil"/>
            </w:tcBorders>
            <w:vAlign w:val="center"/>
          </w:tcPr>
          <w:p w14:paraId="08211CA3">
            <w:pPr>
              <w:jc w:val="center"/>
              <w:rPr>
                <w:rFonts w:hint="eastAsia" w:ascii="宋体" w:hAnsi="宋体" w:eastAsia="宋体" w:cs="宋体"/>
                <w:szCs w:val="21"/>
              </w:rPr>
            </w:pPr>
            <w:r>
              <w:rPr>
                <w:rFonts w:hint="eastAsia" w:ascii="宋体" w:hAnsi="宋体" w:eastAsia="宋体" w:cs="宋体"/>
                <w:szCs w:val="21"/>
              </w:rPr>
              <w:t>获奖时间</w:t>
            </w:r>
          </w:p>
        </w:tc>
      </w:tr>
      <w:tr w14:paraId="1B599BB6">
        <w:tblPrEx>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CellMar>
            <w:top w:w="0" w:type="dxa"/>
            <w:left w:w="108" w:type="dxa"/>
            <w:bottom w:w="0" w:type="dxa"/>
            <w:right w:w="108" w:type="dxa"/>
          </w:tblCellMar>
        </w:tblPrEx>
        <w:trPr>
          <w:trHeight w:val="390" w:hRule="atLeast"/>
        </w:trPr>
        <w:tc>
          <w:tcPr>
            <w:tcW w:w="1080" w:type="dxa"/>
            <w:tcBorders>
              <w:tl2br w:val="nil"/>
              <w:tr2bl w:val="nil"/>
            </w:tcBorders>
            <w:vAlign w:val="center"/>
          </w:tcPr>
          <w:p w14:paraId="173B2843">
            <w:pPr>
              <w:jc w:val="left"/>
              <w:rPr>
                <w:rFonts w:hint="default" w:eastAsiaTheme="minorEastAsia"/>
                <w:szCs w:val="21"/>
                <w:lang w:val="en-US" w:eastAsia="zh-CN"/>
              </w:rPr>
            </w:pPr>
            <w:r>
              <w:rPr>
                <w:rFonts w:hint="eastAsia"/>
                <w:szCs w:val="21"/>
                <w:lang w:val="en-US" w:eastAsia="zh-CN"/>
              </w:rPr>
              <w:t>高雨萱</w:t>
            </w:r>
          </w:p>
        </w:tc>
        <w:tc>
          <w:tcPr>
            <w:tcW w:w="4882" w:type="dxa"/>
            <w:tcBorders>
              <w:tl2br w:val="nil"/>
              <w:tr2bl w:val="nil"/>
            </w:tcBorders>
            <w:vAlign w:val="center"/>
          </w:tcPr>
          <w:p w14:paraId="312D0F9C">
            <w:pPr>
              <w:spacing w:line="360" w:lineRule="auto"/>
              <w:jc w:val="center"/>
              <w:rPr>
                <w:szCs w:val="21"/>
              </w:rPr>
            </w:pPr>
            <w:r>
              <w:rPr>
                <w:rFonts w:hint="eastAsia"/>
                <w:sz w:val="18"/>
                <w:szCs w:val="18"/>
              </w:rPr>
              <w:t>《</w:t>
            </w:r>
            <w:r>
              <w:rPr>
                <w:rFonts w:hint="eastAsia" w:ascii="宋体" w:hAnsi="宋体" w:eastAsia="宋体" w:cs="宋体"/>
                <w:b w:val="0"/>
                <w:bCs w:val="0"/>
                <w:color w:val="auto"/>
                <w:sz w:val="18"/>
                <w:szCs w:val="18"/>
              </w:rPr>
              <w:t>“教-学-评”一体化下初中语文单元作业的设计实践</w:t>
            </w:r>
            <w:r>
              <w:rPr>
                <w:rFonts w:hint="eastAsia"/>
                <w:sz w:val="18"/>
                <w:szCs w:val="18"/>
              </w:rPr>
              <w:t>》</w:t>
            </w:r>
          </w:p>
        </w:tc>
        <w:tc>
          <w:tcPr>
            <w:tcW w:w="3323" w:type="dxa"/>
            <w:tcBorders>
              <w:tl2br w:val="nil"/>
              <w:tr2bl w:val="nil"/>
            </w:tcBorders>
            <w:vAlign w:val="center"/>
          </w:tcPr>
          <w:p w14:paraId="50CA802C">
            <w:pPr>
              <w:ind w:firstLine="420" w:firstLineChars="200"/>
              <w:jc w:val="center"/>
              <w:rPr>
                <w:rFonts w:hint="default" w:eastAsiaTheme="minorEastAsia"/>
                <w:szCs w:val="21"/>
                <w:lang w:val="en-US" w:eastAsia="zh-CN"/>
              </w:rPr>
            </w:pPr>
            <w:r>
              <w:rPr>
                <w:rFonts w:hint="eastAsia"/>
                <w:szCs w:val="21"/>
                <w:lang w:val="en-US" w:eastAsia="zh-CN"/>
              </w:rPr>
              <w:t>2024.12中语会三等奖</w:t>
            </w:r>
          </w:p>
        </w:tc>
      </w:tr>
    </w:tbl>
    <w:p w14:paraId="0AE5EFA7">
      <w:pPr>
        <w:numPr>
          <w:ilvl w:val="0"/>
          <w:numId w:val="2"/>
        </w:numPr>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课例研究</w:t>
      </w:r>
    </w:p>
    <w:p w14:paraId="2B68330E">
      <w:pPr>
        <w:numPr>
          <w:ilvl w:val="0"/>
          <w:numId w:val="0"/>
        </w:numPr>
        <w:rPr>
          <w:rFonts w:hint="eastAsia" w:ascii="宋体" w:hAnsi="宋体" w:eastAsia="宋体" w:cs="宋体"/>
          <w:bCs/>
          <w:szCs w:val="21"/>
          <w:lang w:val="en-US" w:eastAsia="zh-CN"/>
        </w:rPr>
      </w:pPr>
      <w:r>
        <w:rPr>
          <w:rFonts w:hint="eastAsia" w:ascii="宋体" w:hAnsi="宋体" w:eastAsia="宋体" w:cs="宋体"/>
          <w:bCs/>
          <w:szCs w:val="21"/>
          <w:lang w:val="en-US" w:eastAsia="zh-CN"/>
        </w:rPr>
        <w:t>2024年11月 陶宇涵老师《猫》研究课</w:t>
      </w:r>
    </w:p>
    <w:p w14:paraId="7449C476">
      <w:pPr>
        <w:numPr>
          <w:ilvl w:val="0"/>
          <w:numId w:val="0"/>
        </w:numPr>
        <w:rPr>
          <w:rFonts w:hint="eastAsia" w:ascii="宋体" w:hAnsi="宋体" w:eastAsia="宋体" w:cs="宋体"/>
          <w:bCs/>
          <w:szCs w:val="21"/>
          <w:lang w:val="en-US" w:eastAsia="zh-CN"/>
        </w:rPr>
      </w:pPr>
      <w:r>
        <w:rPr>
          <w:rFonts w:hint="eastAsia" w:ascii="宋体" w:hAnsi="宋体" w:eastAsia="宋体" w:cs="宋体"/>
          <w:bCs/>
          <w:szCs w:val="21"/>
          <w:lang w:val="en-US" w:eastAsia="zh-CN"/>
        </w:rPr>
        <w:t>2025年3月  高雨萱老师《蝉》研究课</w:t>
      </w:r>
    </w:p>
    <w:p w14:paraId="15305184">
      <w:pPr>
        <w:numPr>
          <w:ilvl w:val="0"/>
          <w:numId w:val="0"/>
        </w:numPr>
        <w:ind w:firstLine="420" w:firstLineChars="200"/>
        <w:rPr>
          <w:rFonts w:hint="default" w:ascii="宋体" w:hAnsi="宋体" w:eastAsia="宋体" w:cs="宋体"/>
          <w:bCs/>
          <w:szCs w:val="21"/>
          <w:lang w:val="en-US" w:eastAsia="zh-CN"/>
        </w:rPr>
      </w:pPr>
      <w:r>
        <w:rPr>
          <w:rFonts w:hint="eastAsia" w:ascii="宋体" w:hAnsi="宋体" w:eastAsia="宋体" w:cs="宋体"/>
          <w:bCs/>
          <w:szCs w:val="21"/>
          <w:lang w:val="en-US" w:eastAsia="zh-CN"/>
        </w:rPr>
        <w:t>（3）教师发展</w:t>
      </w:r>
    </w:p>
    <w:p w14:paraId="0D786423">
      <w:pPr>
        <w:numPr>
          <w:ilvl w:val="0"/>
          <w:numId w:val="0"/>
        </w:numPr>
        <w:rPr>
          <w:rFonts w:hint="default" w:ascii="宋体" w:hAnsi="宋体" w:eastAsia="宋体" w:cs="宋体"/>
          <w:bCs/>
          <w:szCs w:val="21"/>
          <w:lang w:val="en-US" w:eastAsia="zh-CN"/>
        </w:rPr>
      </w:pPr>
      <w:r>
        <w:rPr>
          <w:rFonts w:hint="eastAsia" w:ascii="宋体" w:hAnsi="宋体" w:eastAsia="宋体" w:cs="宋体"/>
          <w:bCs/>
          <w:szCs w:val="21"/>
          <w:lang w:val="en-US" w:eastAsia="zh-CN"/>
        </w:rPr>
        <w:t>2025年3月 高雨萱老师获得常州市语文基本功比赛市区二等奖</w:t>
      </w:r>
    </w:p>
    <w:p w14:paraId="1FF19442">
      <w:pPr>
        <w:numPr>
          <w:ilvl w:val="0"/>
          <w:numId w:val="0"/>
        </w:numPr>
        <w:rPr>
          <w:rFonts w:hint="eastAsia"/>
          <w:b/>
          <w:szCs w:val="21"/>
        </w:rPr>
      </w:pPr>
      <w:r>
        <w:rPr>
          <w:rFonts w:hint="eastAsia" w:ascii="宋体" w:hAnsi="宋体" w:eastAsia="宋体" w:cs="宋体"/>
          <w:bCs/>
          <w:szCs w:val="21"/>
          <w:lang w:val="en-US" w:eastAsia="zh-CN"/>
        </w:rPr>
        <w:t xml:space="preserve">2025年3月 陶宇涵老师获得常州市语文基本功比赛市区二等奖   </w:t>
      </w:r>
    </w:p>
    <w:p w14:paraId="59D8C5D7">
      <w:pPr>
        <w:numPr>
          <w:ilvl w:val="0"/>
          <w:numId w:val="0"/>
        </w:numPr>
        <w:ind w:firstLine="420" w:firstLineChars="200"/>
        <w:rPr>
          <w:rFonts w:hint="eastAsia"/>
        </w:rPr>
      </w:pPr>
    </w:p>
    <w:p w14:paraId="0A4F8292">
      <w:pPr>
        <w:numPr>
          <w:ilvl w:val="0"/>
          <w:numId w:val="0"/>
        </w:numPr>
        <w:rPr>
          <w:rFonts w:hint="eastAsia"/>
          <w:b/>
          <w:bCs/>
        </w:rPr>
      </w:pPr>
      <w:r>
        <w:rPr>
          <w:rFonts w:hint="eastAsia"/>
          <w:b/>
          <w:bCs/>
          <w:lang w:val="en-US" w:eastAsia="zh-CN"/>
        </w:rPr>
        <w:t>四、</w:t>
      </w:r>
      <w:r>
        <w:rPr>
          <w:rFonts w:hint="eastAsia"/>
          <w:b/>
          <w:bCs/>
        </w:rPr>
        <w:t>问题与展望</w:t>
      </w:r>
    </w:p>
    <w:p w14:paraId="6DC6F39F">
      <w:pPr>
        <w:numPr>
          <w:ilvl w:val="0"/>
          <w:numId w:val="0"/>
        </w:numPr>
        <w:ind w:firstLine="420"/>
        <w:jc w:val="left"/>
        <w:rPr>
          <w:rFonts w:hint="eastAsia"/>
        </w:rPr>
      </w:pPr>
      <w:r>
        <w:rPr>
          <w:rFonts w:hint="eastAsia"/>
        </w:rPr>
        <w:t>当前课题研究仍存在评价标准的具体化程度不足、过程性数据的采集分析不够系统等问题。展望未来，我们将着力构建更科学的评价指标体系，开发可操作的过程性评价工具，并探索人工智能技术在阅读评价中的应用，推动语文阅读教学评价向精准化、个性化、智能化方向发展。</w:t>
      </w:r>
      <w:bookmarkStart w:id="0" w:name="_GoBack"/>
      <w:bookmarkEnd w:id="0"/>
    </w:p>
    <w:p w14:paraId="77EB037F">
      <w:pPr>
        <w:numPr>
          <w:ilvl w:val="0"/>
          <w:numId w:val="0"/>
        </w:numPr>
        <w:ind w:firstLine="420"/>
        <w:jc w:val="right"/>
        <w:rPr>
          <w:rFonts w:hint="eastAsia"/>
          <w:lang w:val="en-US" w:eastAsia="zh-CN"/>
        </w:rPr>
      </w:pPr>
    </w:p>
    <w:p w14:paraId="5C1A45DC">
      <w:pPr>
        <w:numPr>
          <w:ilvl w:val="0"/>
          <w:numId w:val="0"/>
        </w:numPr>
        <w:ind w:firstLine="420"/>
        <w:jc w:val="right"/>
        <w:rPr>
          <w:rFonts w:hint="eastAsia" w:ascii="宋体" w:hAnsi="宋体" w:eastAsia="宋体" w:cs="宋体"/>
          <w:lang w:val="en-US" w:eastAsia="zh-CN"/>
        </w:rPr>
      </w:pPr>
      <w:r>
        <w:rPr>
          <w:rFonts w:hint="eastAsia" w:ascii="宋体" w:hAnsi="宋体" w:eastAsia="宋体" w:cs="宋体"/>
          <w:lang w:val="en-US" w:eastAsia="zh-CN"/>
        </w:rPr>
        <w:t>2025.10.25</w:t>
      </w:r>
    </w:p>
    <w:p w14:paraId="2211BC30">
      <w:pPr>
        <w:ind w:firstLine="420" w:firstLineChars="200"/>
        <w:rPr>
          <w:rFonts w:hint="eastAsia"/>
        </w:rPr>
      </w:pPr>
    </w:p>
    <w:p w14:paraId="26CB95F4">
      <w:pPr>
        <w:numPr>
          <w:ilvl w:val="0"/>
          <w:numId w:val="0"/>
        </w:numPr>
        <w:rPr>
          <w:rFonts w:hint="default"/>
          <w:b/>
          <w:bCs/>
          <w:lang w:val="en-US" w:eastAsia="zh-CN"/>
        </w:rPr>
      </w:pPr>
    </w:p>
    <w:p w14:paraId="67E13E4F">
      <w:pPr>
        <w:numPr>
          <w:ilvl w:val="0"/>
          <w:numId w:val="0"/>
        </w:numPr>
        <w:rPr>
          <w:rFonts w:hint="default"/>
          <w:b/>
          <w:bCs/>
          <w:lang w:val="en-US" w:eastAsia="zh-CN"/>
        </w:rPr>
      </w:pPr>
    </w:p>
    <w:p w14:paraId="5B5EE624">
      <w:pPr>
        <w:numPr>
          <w:ilvl w:val="0"/>
          <w:numId w:val="0"/>
        </w:numPr>
        <w:rPr>
          <w:rFonts w:hint="default"/>
          <w:b/>
          <w:bCs/>
          <w:lang w:val="en-US" w:eastAsia="zh-CN"/>
        </w:rPr>
      </w:pPr>
    </w:p>
    <w:p w14:paraId="2B3D5B97">
      <w:pPr>
        <w:numPr>
          <w:ilvl w:val="0"/>
          <w:numId w:val="0"/>
        </w:numPr>
        <w:rPr>
          <w:rFonts w:hint="default"/>
          <w:b/>
          <w:bCs/>
          <w:lang w:val="en-US" w:eastAsia="zh-CN"/>
        </w:rPr>
      </w:pPr>
    </w:p>
    <w:p w14:paraId="639D29A5">
      <w:pPr>
        <w:numPr>
          <w:ilvl w:val="0"/>
          <w:numId w:val="0"/>
        </w:numPr>
        <w:rPr>
          <w:rFonts w:hint="default"/>
          <w:b/>
          <w:bCs/>
          <w:lang w:val="en-US" w:eastAsia="zh-CN"/>
        </w:rPr>
      </w:pPr>
    </w:p>
    <w:p w14:paraId="036F2A35">
      <w:pPr>
        <w:numPr>
          <w:ilvl w:val="0"/>
          <w:numId w:val="0"/>
        </w:numPr>
        <w:rPr>
          <w:rFonts w:hint="default" w:ascii="宋体" w:hAnsi="宋体"/>
          <w:b w:val="0"/>
          <w:bCs w:val="0"/>
          <w:szCs w:val="21"/>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BE54">
    <w:pPr>
      <w:pStyle w:val="2"/>
      <w:rPr>
        <w:rFonts w:hint="eastAsia"/>
        <w:lang w:val="en-US" w:eastAsia="zh-CN"/>
      </w:rPr>
    </w:pPr>
  </w:p>
  <w:p w14:paraId="4B28F781">
    <w:pPr>
      <w:pStyle w:val="2"/>
      <w:rPr>
        <w:rFonts w:hint="default"/>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0B197"/>
    <w:multiLevelType w:val="singleLevel"/>
    <w:tmpl w:val="C430B197"/>
    <w:lvl w:ilvl="0" w:tentative="0">
      <w:start w:val="2"/>
      <w:numFmt w:val="decimal"/>
      <w:suff w:val="nothing"/>
      <w:lvlText w:val="（%1）"/>
      <w:lvlJc w:val="left"/>
    </w:lvl>
  </w:abstractNum>
  <w:abstractNum w:abstractNumId="1">
    <w:nsid w:val="36230A9C"/>
    <w:multiLevelType w:val="multilevel"/>
    <w:tmpl w:val="36230A9C"/>
    <w:lvl w:ilvl="0" w:tentative="0">
      <w:start w:val="1"/>
      <w:numFmt w:val="chineseCountingThousand"/>
      <w:pStyle w:val="14"/>
      <w:lvlText w:val="%1 "/>
      <w:lvlJc w:val="left"/>
      <w:pPr>
        <w:ind w:left="425" w:hanging="425"/>
      </w:pPr>
      <w:rPr>
        <w:rFonts w:hint="eastAsia"/>
      </w:rPr>
    </w:lvl>
    <w:lvl w:ilvl="1" w:tentative="0">
      <w:start w:val="1"/>
      <w:numFmt w:val="chineseCountingThousand"/>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mJkNjRlNjMxOTMyNDEzODMxNjhlMDdiMTY5YmIifQ=="/>
  </w:docVars>
  <w:rsids>
    <w:rsidRoot w:val="00000000"/>
    <w:rsid w:val="0031380D"/>
    <w:rsid w:val="005F1217"/>
    <w:rsid w:val="007F6C6F"/>
    <w:rsid w:val="02B732F8"/>
    <w:rsid w:val="03C54999"/>
    <w:rsid w:val="03E33071"/>
    <w:rsid w:val="045B58B3"/>
    <w:rsid w:val="045F371F"/>
    <w:rsid w:val="052D6C99"/>
    <w:rsid w:val="056B20BB"/>
    <w:rsid w:val="06572AE9"/>
    <w:rsid w:val="07037CFE"/>
    <w:rsid w:val="08061E83"/>
    <w:rsid w:val="08527876"/>
    <w:rsid w:val="08F85810"/>
    <w:rsid w:val="09864A2D"/>
    <w:rsid w:val="0A4D1D2C"/>
    <w:rsid w:val="0B0C7351"/>
    <w:rsid w:val="0B642CE9"/>
    <w:rsid w:val="0E5B2DD9"/>
    <w:rsid w:val="0EC05A89"/>
    <w:rsid w:val="0ED168E7"/>
    <w:rsid w:val="0F0A457B"/>
    <w:rsid w:val="10142F30"/>
    <w:rsid w:val="10185BF4"/>
    <w:rsid w:val="10E723F2"/>
    <w:rsid w:val="11196324"/>
    <w:rsid w:val="11FD6E86"/>
    <w:rsid w:val="121511E1"/>
    <w:rsid w:val="13B16CE7"/>
    <w:rsid w:val="14A73FEE"/>
    <w:rsid w:val="14CB3DD9"/>
    <w:rsid w:val="15146851"/>
    <w:rsid w:val="175E2CE2"/>
    <w:rsid w:val="17CC17B8"/>
    <w:rsid w:val="17DF02C7"/>
    <w:rsid w:val="18226406"/>
    <w:rsid w:val="182E0907"/>
    <w:rsid w:val="18552337"/>
    <w:rsid w:val="19DE010A"/>
    <w:rsid w:val="19E020D4"/>
    <w:rsid w:val="1B2B55D1"/>
    <w:rsid w:val="1C295FB5"/>
    <w:rsid w:val="1C7A6810"/>
    <w:rsid w:val="1C961170"/>
    <w:rsid w:val="1CBF5CAB"/>
    <w:rsid w:val="1D2A05D5"/>
    <w:rsid w:val="1D547061"/>
    <w:rsid w:val="1D683B14"/>
    <w:rsid w:val="1E0D024D"/>
    <w:rsid w:val="1F93346E"/>
    <w:rsid w:val="1FF44150"/>
    <w:rsid w:val="20515ADA"/>
    <w:rsid w:val="206D3F96"/>
    <w:rsid w:val="21256BA3"/>
    <w:rsid w:val="21610997"/>
    <w:rsid w:val="22817D04"/>
    <w:rsid w:val="235B3DBB"/>
    <w:rsid w:val="245F40C5"/>
    <w:rsid w:val="25C805EC"/>
    <w:rsid w:val="2668327F"/>
    <w:rsid w:val="26B30924"/>
    <w:rsid w:val="272A498F"/>
    <w:rsid w:val="27E2757A"/>
    <w:rsid w:val="287F58CD"/>
    <w:rsid w:val="28CB675C"/>
    <w:rsid w:val="298458EB"/>
    <w:rsid w:val="29B45E0C"/>
    <w:rsid w:val="29F25688"/>
    <w:rsid w:val="2C875147"/>
    <w:rsid w:val="2D097AC2"/>
    <w:rsid w:val="2DB766A2"/>
    <w:rsid w:val="2E3F6F72"/>
    <w:rsid w:val="2E4F1B7E"/>
    <w:rsid w:val="2E703E9B"/>
    <w:rsid w:val="2F933C4D"/>
    <w:rsid w:val="303A5668"/>
    <w:rsid w:val="30744ECD"/>
    <w:rsid w:val="308B1C39"/>
    <w:rsid w:val="30CC4D09"/>
    <w:rsid w:val="30E65DCB"/>
    <w:rsid w:val="30F54CC0"/>
    <w:rsid w:val="31BD2FCF"/>
    <w:rsid w:val="31FB58A6"/>
    <w:rsid w:val="32CE4D68"/>
    <w:rsid w:val="32DB3C15"/>
    <w:rsid w:val="33463E4D"/>
    <w:rsid w:val="33CE08CE"/>
    <w:rsid w:val="349F61AF"/>
    <w:rsid w:val="34FD035B"/>
    <w:rsid w:val="353C2D93"/>
    <w:rsid w:val="357C4F4F"/>
    <w:rsid w:val="36171DB0"/>
    <w:rsid w:val="385A4814"/>
    <w:rsid w:val="38CD161E"/>
    <w:rsid w:val="39406F1C"/>
    <w:rsid w:val="39E10598"/>
    <w:rsid w:val="39FA57AC"/>
    <w:rsid w:val="3A0B0E49"/>
    <w:rsid w:val="3AA7481D"/>
    <w:rsid w:val="3AF46AC8"/>
    <w:rsid w:val="3BF81A9D"/>
    <w:rsid w:val="3C597D99"/>
    <w:rsid w:val="3C990195"/>
    <w:rsid w:val="3D5D7415"/>
    <w:rsid w:val="3E3839DE"/>
    <w:rsid w:val="3E824CA1"/>
    <w:rsid w:val="3EAF0856"/>
    <w:rsid w:val="3F1B30E3"/>
    <w:rsid w:val="3FCA68B7"/>
    <w:rsid w:val="419F16CC"/>
    <w:rsid w:val="42181B5C"/>
    <w:rsid w:val="42203169"/>
    <w:rsid w:val="42B06238"/>
    <w:rsid w:val="449D4A74"/>
    <w:rsid w:val="449E22E8"/>
    <w:rsid w:val="44DE5519"/>
    <w:rsid w:val="45EE700D"/>
    <w:rsid w:val="461D3BE5"/>
    <w:rsid w:val="464253F9"/>
    <w:rsid w:val="46D87B0C"/>
    <w:rsid w:val="46ED7A5B"/>
    <w:rsid w:val="47BA5463"/>
    <w:rsid w:val="48D52555"/>
    <w:rsid w:val="4A8E5ABE"/>
    <w:rsid w:val="4AFA77AD"/>
    <w:rsid w:val="4B847C5A"/>
    <w:rsid w:val="4B8D35BB"/>
    <w:rsid w:val="4CDD2B5C"/>
    <w:rsid w:val="4F756840"/>
    <w:rsid w:val="50707007"/>
    <w:rsid w:val="508F1452"/>
    <w:rsid w:val="51853A78"/>
    <w:rsid w:val="51BE1E6A"/>
    <w:rsid w:val="523A067F"/>
    <w:rsid w:val="525F31B7"/>
    <w:rsid w:val="528F7C18"/>
    <w:rsid w:val="53346F7C"/>
    <w:rsid w:val="53634C01"/>
    <w:rsid w:val="536A41E2"/>
    <w:rsid w:val="537F7C8D"/>
    <w:rsid w:val="53C7563D"/>
    <w:rsid w:val="546F3C12"/>
    <w:rsid w:val="547A2311"/>
    <w:rsid w:val="54D67D81"/>
    <w:rsid w:val="54F432D8"/>
    <w:rsid w:val="554227FC"/>
    <w:rsid w:val="55713605"/>
    <w:rsid w:val="560F139F"/>
    <w:rsid w:val="565425D0"/>
    <w:rsid w:val="57856B14"/>
    <w:rsid w:val="59837319"/>
    <w:rsid w:val="5A292701"/>
    <w:rsid w:val="5BC84492"/>
    <w:rsid w:val="5CD30206"/>
    <w:rsid w:val="5DC0337C"/>
    <w:rsid w:val="5E76152A"/>
    <w:rsid w:val="5F6C49F6"/>
    <w:rsid w:val="60C34F31"/>
    <w:rsid w:val="60DF0A0B"/>
    <w:rsid w:val="611578D4"/>
    <w:rsid w:val="616D74D9"/>
    <w:rsid w:val="631321A0"/>
    <w:rsid w:val="63495BC1"/>
    <w:rsid w:val="653020ED"/>
    <w:rsid w:val="65D55D8D"/>
    <w:rsid w:val="662449D9"/>
    <w:rsid w:val="66C1760E"/>
    <w:rsid w:val="66D6776C"/>
    <w:rsid w:val="67EB72D4"/>
    <w:rsid w:val="681364DF"/>
    <w:rsid w:val="69015EF2"/>
    <w:rsid w:val="69C427D9"/>
    <w:rsid w:val="6A097E59"/>
    <w:rsid w:val="6ADD3285"/>
    <w:rsid w:val="6B9C6F77"/>
    <w:rsid w:val="6C091AA8"/>
    <w:rsid w:val="6C662007"/>
    <w:rsid w:val="6D0908E9"/>
    <w:rsid w:val="6D54588F"/>
    <w:rsid w:val="6EF96B65"/>
    <w:rsid w:val="709059F6"/>
    <w:rsid w:val="7142624E"/>
    <w:rsid w:val="71B2527A"/>
    <w:rsid w:val="720F7FD6"/>
    <w:rsid w:val="72327115"/>
    <w:rsid w:val="724203AC"/>
    <w:rsid w:val="72671BC0"/>
    <w:rsid w:val="73700F48"/>
    <w:rsid w:val="73A86934"/>
    <w:rsid w:val="740D76BC"/>
    <w:rsid w:val="762B7040"/>
    <w:rsid w:val="766A35A0"/>
    <w:rsid w:val="767E572A"/>
    <w:rsid w:val="77470212"/>
    <w:rsid w:val="77C43611"/>
    <w:rsid w:val="7A28614B"/>
    <w:rsid w:val="7C272FE9"/>
    <w:rsid w:val="7C9E2682"/>
    <w:rsid w:val="7CED53B8"/>
    <w:rsid w:val="7D3A0A4C"/>
    <w:rsid w:val="7D4E5BDF"/>
    <w:rsid w:val="7DAC7021"/>
    <w:rsid w:val="7EDC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lang w:bidi="bo-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footnote reference"/>
    <w:basedOn w:val="8"/>
    <w:autoRedefine/>
    <w:qFormat/>
    <w:uiPriority w:val="0"/>
    <w:rPr>
      <w:vertAlign w:val="superscript"/>
    </w:rPr>
  </w:style>
  <w:style w:type="character" w:customStyle="1" w:styleId="12">
    <w:name w:val="bjh-strong"/>
    <w:basedOn w:val="8"/>
    <w:autoRedefine/>
    <w:qFormat/>
    <w:uiPriority w:val="0"/>
  </w:style>
  <w:style w:type="paragraph" w:customStyle="1" w:styleId="13">
    <w:name w:val="aTYH上下各空一行，中文题目"/>
    <w:basedOn w:val="1"/>
    <w:autoRedefine/>
    <w:qFormat/>
    <w:uiPriority w:val="0"/>
    <w:pPr>
      <w:tabs>
        <w:tab w:val="left" w:pos="2550"/>
      </w:tabs>
      <w:jc w:val="center"/>
    </w:pPr>
    <w:rPr>
      <w:rFonts w:eastAsia="黑体"/>
      <w:b/>
      <w:bCs/>
      <w:sz w:val="36"/>
      <w:szCs w:val="36"/>
    </w:rPr>
  </w:style>
  <w:style w:type="paragraph" w:customStyle="1" w:styleId="14">
    <w:name w:val="aTYH正文一级标题"/>
    <w:basedOn w:val="1"/>
    <w:autoRedefine/>
    <w:qFormat/>
    <w:uiPriority w:val="0"/>
    <w:pPr>
      <w:numPr>
        <w:ilvl w:val="0"/>
        <w:numId w:val="1"/>
      </w:numPr>
      <w:ind w:right="25" w:rightChars="12"/>
      <w:jc w:val="center"/>
      <w:outlineLvl w:val="0"/>
    </w:pPr>
    <w:rPr>
      <w:rFonts w:ascii="黑体" w:hAnsi="宋体" w:eastAsia="黑体"/>
      <w:b/>
      <w:sz w:val="36"/>
      <w:szCs w:val="36"/>
    </w:rPr>
  </w:style>
  <w:style w:type="paragraph" w:customStyle="1" w:styleId="15">
    <w:name w:val="aTYH正文"/>
    <w:basedOn w:val="1"/>
    <w:autoRedefine/>
    <w:qFormat/>
    <w:uiPriority w:val="0"/>
    <w:pPr>
      <w:adjustRightInd w:val="0"/>
      <w:snapToGrid w:val="0"/>
      <w:spacing w:line="400" w:lineRule="exact"/>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8081</Words>
  <Characters>8183</Characters>
  <Lines>0</Lines>
  <Paragraphs>0</Paragraphs>
  <TotalTime>7</TotalTime>
  <ScaleCrop>false</ScaleCrop>
  <LinksUpToDate>false</LinksUpToDate>
  <CharactersWithSpaces>8202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2021-07-01T12:09:00Z</dcterms:created>
  <dc:creator>Tom</dc:creator>
  <cp:lastModifiedBy>SXY。</cp:lastModifiedBy>
  <dcterms:modified xsi:type="dcterms:W3CDTF">2025-10-26T16:04:24Z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1CCBBF57343C41CFA09A202B78908DD1_12</vt:lpwstr>
  </property>
  <property fmtid="{D5CDD505-2E9C-101B-9397-08002B2CF9AE}" pid="4" name="KSOTemplateDocerSaveRecord">
    <vt:lpwstr>eyJoZGlkIjoiZGEyNjRiOGVjNGQ4OGM0YzEzYzQ1MWZkNTM4MWNiNmEiLCJ1c2VySWQiOiIyNjc3NjgzMzUifQ==</vt:lpwstr>
  </property>
</Properties>
</file>