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45DDF6">
      <w:pPr>
        <w:jc w:val="center"/>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一年级下册数学备课组活动总结</w:t>
      </w:r>
    </w:p>
    <w:p w14:paraId="6E7AC1AB">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本学期，我们一年级数学备课组紧紧围绕苏教版新教材的核心理念与教学要求，以提升学生核心素养为目标，积极开展了一系列扎实有效的备课组活动。全体成员团结协作，潜心钻研，努力探索新教材背景下的有效教学策略，现将本学期活动情况总结如下：</w:t>
      </w:r>
    </w:p>
    <w:p w14:paraId="15C0B6C7">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一、 聚焦新教材，深入研读明方向</w:t>
      </w:r>
    </w:p>
    <w:p w14:paraId="20765833">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教材分析精细化：学期初，备课组集中力量对苏教版一年级下册数学新教材进行了全面、深入的解读。重点分析了教材的结构体系、内容编排特点（如情境图设计、活动要求、习题层次）、新增或调整的知识点（如“20以内的进位加法和退位减法”、“认识20~99”的深化、“数据的收集和整理（一）”等）以及蕴含的核心素养（数感、量感、符号意识、运算能力、空间观念、推理意识、应用意识）。</w:t>
      </w:r>
    </w:p>
    <w:p w14:paraId="3EFF82AF">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新课标对照学习：结合《义务教育数学课程标准（2022年版）》，明确本册教材的教学目标、内容要求、学业要求和教学提示，确保教学方向与课标精神高度一致。特别关注了“三会”（会用数学的眼光观察现实世界，会用数学的思维思考现实世界，会用数学的语言表达现实世界）在一年级教学中的具体落实点。</w:t>
      </w:r>
    </w:p>
    <w:p w14:paraId="11C34D07">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3.教学重难点研讨： 针对教材中的重点单元（如《20以内的进位加法和退位减法》、《认识20~99》、《两位数加减整十数、一位数》）和难点内容（如《图形的初步认识》《图形的拼组》《抓抓数数》《数学连环画》），进行了专题研讨，共同梳理教学思路，预判学生可能遇到的困难。</w:t>
      </w:r>
    </w:p>
    <w:p w14:paraId="6DC53498">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二、 活动形式多样，集思广益促提升</w:t>
      </w:r>
    </w:p>
    <w:p w14:paraId="3CDB2EAD">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1.常态化集体备课：</w:t>
      </w:r>
    </w:p>
    <w:p w14:paraId="6D6643AB">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坚持每周一次集体备课制度，做到“四定”（定时间、定地点、定内容、定主备人）。</w:t>
      </w:r>
    </w:p>
    <w:p w14:paraId="3A0A13E1">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主备人提前钻研教材、设计教学方案（包括情境创设、核心问题、探究活动、练习设计、板书构思等），在集体备课时进行详细说课。</w:t>
      </w:r>
    </w:p>
    <w:p w14:paraId="1A2F5132">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备课组老师能围绕主备方案展开热烈讨论，分享教学智慧，提出优化建议</w:t>
      </w:r>
      <w:bookmarkStart w:id="0" w:name="_GoBack"/>
      <w:bookmarkEnd w:id="0"/>
      <w:r>
        <w:rPr>
          <w:rFonts w:hint="eastAsia" w:ascii="宋体" w:hAnsi="宋体" w:eastAsia="宋体" w:cs="宋体"/>
          <w:sz w:val="24"/>
          <w:szCs w:val="24"/>
          <w:lang w:val="en-US" w:eastAsia="zh-CN"/>
        </w:rPr>
        <w:t>。</w:t>
      </w:r>
    </w:p>
    <w:p w14:paraId="0A10126F">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2.课堂实践与观摩：</w:t>
      </w:r>
    </w:p>
    <w:p w14:paraId="79632D12">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积极开展组内研究课、观摩课活动。每位老师至少承担了一节组内公开课。</w:t>
      </w:r>
    </w:p>
    <w:p w14:paraId="7E8D2358">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课后及时组织评课议课，聚焦新教材理念的落实情况、教学目标的达成度、学生活动的有效性、课堂生成的应对等，进行坦诚交流与反思，相互学习，共同提高。</w:t>
      </w:r>
    </w:p>
    <w:p w14:paraId="0E36B455">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鼓励教师跨班级听课，学习借鉴同伴的闪光点。</w:t>
      </w:r>
    </w:p>
    <w:p w14:paraId="59173DE1">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3.作业设计与评价研究：</w:t>
      </w:r>
    </w:p>
    <w:p w14:paraId="61B5C1FA">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依据新教材要求和“双减”政策，共同研讨课堂练习和课后作业的设计，力求体现基础性、层次性、趣味性和实践性，严格控制作业量和难度。</w:t>
      </w:r>
    </w:p>
    <w:p w14:paraId="1349057E">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关注过程性评价，探讨如何在日常教学中运用课堂观察、操作表现、口头表达、简单的项目任务等多种方式评价学生的学习状态和核心素养发展。</w:t>
      </w:r>
    </w:p>
    <w:p w14:paraId="6AD537A9">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对单元练习和阶段性评价进行集体分析，查找共性问题，调整后续教学策略。</w:t>
      </w:r>
    </w:p>
    <w:p w14:paraId="4747F659">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三、 活动成效与主要收获</w:t>
      </w:r>
    </w:p>
    <w:p w14:paraId="62731653">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1.教师层面：</w:t>
      </w:r>
    </w:p>
    <w:p w14:paraId="3FC5D0E1">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深化了对新教材的理解：备课组全体教师对苏教版新教材的编写意图、结构特点、教学要求有了更清晰、更深刻的认识，教学方向更加明确。</w:t>
      </w:r>
    </w:p>
    <w:p w14:paraId="7AFD42FC">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提升了教学设计与实施能力：通过集体智慧的碰撞和课堂实践的打磨，教师们设计情境、组织探究活动、启发学生思考、有效利用教材资源的能力得到提升，课堂教学效率有所提高。</w:t>
      </w:r>
    </w:p>
    <w:p w14:paraId="7F34B280">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更新了教学理念更加注重以生为本，关注学生的学习起点、思维过程和实践体验，核心素养的培养意识显著增强。</w:t>
      </w:r>
    </w:p>
    <w:p w14:paraId="44521C22">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2.学生层面：</w:t>
      </w:r>
    </w:p>
    <w:p w14:paraId="339222BC">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学习兴趣得到激发：生动有趣的情境、丰富的操作活动、联系生活的教学内容，有效激发了学生学习数学的兴趣。</w:t>
      </w:r>
    </w:p>
    <w:p w14:paraId="76B34C9B">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基础知识和技能掌握更扎实：在算理理解、计算能力、空间观念、简单应用等方面，学生整体表现良好，为新知识的学习打下了较好基础。</w:t>
      </w:r>
    </w:p>
    <w:p w14:paraId="15D7601C">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 xml:space="preserve">    初步素养得到发展：在观察、操作、表达、简单的推理和解决生活实际问题中，学生的数感、量感、符号意识、应用意识等核心素养得到初步培养。</w:t>
      </w:r>
    </w:p>
    <w:p w14:paraId="3A4AA9B2">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四、 存在的问题与反思</w:t>
      </w:r>
    </w:p>
    <w:p w14:paraId="705FA855">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1.对新教材深度挖掘仍有空间：部分情境图或活动设计的深层价值挖掘不够充分，对教材中蕴含的数学思想方法渗透的自觉性有待加强。</w:t>
      </w:r>
    </w:p>
    <w:p w14:paraId="50661B7C">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2.差异化教学的挑战：面对学生个体差异，如何在集体教学中更有效地实施分层教学和个别指导，满足不同学生的发展需求，仍需深入探索有效策略。</w:t>
      </w:r>
    </w:p>
    <w:p w14:paraId="0410B6BB">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3.评价方式需更丰富多元：过程性评价的体系化、常态化以及评价结果的运用还需要进一步完善。</w:t>
      </w:r>
    </w:p>
    <w:p w14:paraId="36015BDB">
      <w:pPr>
        <w:keepNext w:val="0"/>
        <w:keepLines w:val="0"/>
        <w:pageBreakBefore w:val="0"/>
        <w:widowControl w:val="0"/>
        <w:kinsoku/>
        <w:wordWrap/>
        <w:overflowPunct/>
        <w:topLinePunct w:val="0"/>
        <w:autoSpaceDE/>
        <w:autoSpaceDN/>
        <w:bidi w:val="0"/>
        <w:adjustRightInd/>
        <w:snapToGrid/>
        <w:spacing w:line="440" w:lineRule="exact"/>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4.教学资源的整合与创新：在利用信息技术辅助教学、开发更贴近学生生活的校本化素材方面，还可以做得更多。</w:t>
      </w:r>
    </w:p>
    <w:p w14:paraId="0F9875A2">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both"/>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新学年中，我们备课组将继续秉持务实、协作精神，深耕教材，聚焦课堂，关注学生，不断提升教研活动的实效性和教师的素养，为学生的数学学习和全面发展奠定坚实的基础。</w:t>
      </w:r>
    </w:p>
    <w:p w14:paraId="1447763A"/>
    <w:sectPr>
      <w:pgSz w:w="11906" w:h="16838"/>
      <w:pgMar w:top="1247" w:right="1134" w:bottom="1134"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D090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1</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2025-06-26T04:42:08Z</dcterms:created>
  <dc:creator>Geit</dc:creator>
  <cp:lastModifiedBy>马小飞</cp:lastModifiedBy>
  <dcterms:modified xsi:type="dcterms:W3CDTF">2025-06-26T04:43:39Z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eyJoZGlkIjoiYWE0NzRmZjljNTkxYjNiMjc1ZTRlZGM2YTgyMWU0MTAiLCJ1c2VySWQiOiI0MTQzNDc4MDIifQ==</vt:lpwstr>
  </property>
  <property fmtid="{D5CDD505-2E9C-101B-9397-08002B2CF9AE}" pid="4" name="ICV">
    <vt:lpwstr>CB2E80870B9543DA913F6A261ECF34D3_12</vt:lpwstr>
  </property>
</Properties>
</file>