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22" w:firstLineChars="200"/>
        <w:jc w:val="center"/>
        <w:rPr>
          <w:rFonts w:hint="eastAsia" w:ascii="宋体" w:hAnsi="宋体" w:eastAsia="宋体"/>
          <w:b/>
          <w:spacing w:val="15"/>
          <w:sz w:val="28"/>
          <w:szCs w:val="30"/>
          <w:lang w:val="en-US" w:eastAsia="zh-CN"/>
        </w:rPr>
      </w:pPr>
      <w:r>
        <w:rPr>
          <w:rFonts w:ascii="宋体" w:hAnsi="宋体"/>
          <w:b/>
          <w:spacing w:val="15"/>
          <w:sz w:val="28"/>
          <w:szCs w:val="30"/>
        </w:rPr>
        <w:t>20</w:t>
      </w:r>
      <w:r>
        <w:rPr>
          <w:rFonts w:hint="eastAsia" w:ascii="宋体" w:hAnsi="宋体"/>
          <w:b/>
          <w:spacing w:val="15"/>
          <w:sz w:val="28"/>
          <w:szCs w:val="30"/>
        </w:rPr>
        <w:t>2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3</w:t>
      </w:r>
      <w:r>
        <w:rPr>
          <w:rFonts w:ascii="宋体" w:hAnsi="宋体"/>
          <w:b/>
          <w:spacing w:val="15"/>
          <w:sz w:val="28"/>
          <w:szCs w:val="30"/>
        </w:rPr>
        <w:t>-20</w:t>
      </w:r>
      <w:r>
        <w:rPr>
          <w:rFonts w:hint="eastAsia" w:ascii="宋体" w:hAnsi="宋体"/>
          <w:b/>
          <w:spacing w:val="15"/>
          <w:sz w:val="28"/>
          <w:szCs w:val="30"/>
        </w:rPr>
        <w:t>2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4</w:t>
      </w:r>
      <w:r>
        <w:rPr>
          <w:rFonts w:ascii="宋体" w:hAnsi="宋体"/>
          <w:b/>
          <w:spacing w:val="15"/>
          <w:sz w:val="28"/>
          <w:szCs w:val="30"/>
        </w:rPr>
        <w:t>学年第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一</w:t>
      </w:r>
      <w:r>
        <w:rPr>
          <w:rFonts w:ascii="宋体" w:hAnsi="宋体"/>
          <w:b/>
          <w:spacing w:val="15"/>
          <w:sz w:val="28"/>
          <w:szCs w:val="30"/>
        </w:rPr>
        <w:t>学期数学教研组</w:t>
      </w:r>
      <w:r>
        <w:rPr>
          <w:rFonts w:hint="eastAsia" w:ascii="宋体" w:hAnsi="宋体"/>
          <w:b/>
          <w:spacing w:val="15"/>
          <w:sz w:val="28"/>
          <w:szCs w:val="30"/>
          <w:lang w:val="en-US" w:eastAsia="zh-CN"/>
        </w:rPr>
        <w:t>总结</w:t>
      </w:r>
    </w:p>
    <w:p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在2023-2024年度第一学期的发展中，初中数学教研组合作共进、共同度过了充实的半年时光。全体数学组教师借助课题组《初中数学动态分层作业设计与实施研究》区级课题相关活动的开展，不断坚持理论学习，积极参加和开展各项教研活动，不断完善并改进教学方法和手段，提升自我作业设计能力，积极探索、改革教学，在不断推进我校“生命课堂”教学模式的同时，把新基础、新课标的理念融入教学实践，为提高我校教学质量做出了贡献。现就本学期的数学组学科工作，做以下几点总结和回顾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一、工作思路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（一）稳抓教育教学，切实提高教学质量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（二）重视教师素养，提升个人教科研能力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二、主要工作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1、备课：优化备课，统筹协调个备集备，备课组内要求分工合作，不仅要在课前做到备课堂，还要备作业。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2、课堂：落实课堂改革和创新，促进教学行为转型，在40分钟的课堂时间内研究不同数学课型的上法，提出符合学情校情的常态课教学模式。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3、作业：结合数学组区级课题《初中数学动态分层作业设计与实施研究》进行探索，并将阶段性的成果汇报、展示。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4、讲评与评价：不断完善作业的评价机制，努力探索分层作业布置后对作业讲评的方法优化，提出系列的优化方法和手段。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5、课题：在日常教学中积极推进区级课题的探究，并以“分层作业”为引领，鼓励组内教师对子课题进行深入探究。青年教师</w:t>
      </w:r>
      <w:bookmarkStart w:id="0" w:name="_GoBack"/>
      <w:bookmarkEnd w:id="0"/>
      <w:r>
        <w:rPr>
          <w:rFonts w:hint="eastAsia"/>
          <w:lang w:val="en-US" w:eastAsia="zh-CN"/>
        </w:rPr>
        <w:t>积极申报学校的微课题研究。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6、论文：要求青年教师每学期至少获奖或发表一篇教育教学论文，积极参加各项有关论文写作的培训或教研活动。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7、公开课、讲座：组织开展好高质量的校级公开课，积极申报市区的公开课，并将学习心得及时与组内成员交流、分享。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8、听课、评课：按要求每位教师每学期听课不少于20节，中层、教研组长、年级组长不少于25节，新教师不少于30节。教研活动的评课环节人人参加，并在活动后形成相关文字稿保存。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9、“三题”能力：注重组内教师命题、解题、讲题能力的提升，鼓励青年教师积极参加市区各项基本功、评优课、解题大赛等。各备课组注意收集组内日常的试题汇编，分工协作、资源共享。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三、具体举措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1、配合学校组织本组教师参加政治学习和业务学习，提高师德修养，进一步发扬我组的优良教风。集中精力练就教学内功，努力提高教学能力和教学实绩。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2、探索“构建促进学生高品质学习的生命课堂”，本学期重点落实推进沈虹老师主持的区级课题《初中数学动态分层作业设计与实施研究》。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进一步加强教研组和备课组建设。加强教研组的管理，教研组长经常深入备课组，了解、检查本组的教学工作情况，每月对各教师的备课、听课情况检查一次，以便及时发现问题、解决问题。在每人上好课的同时，教研组江晶老师被跟踪调研，还有四位教师开设校级公开课。按要求每位教师每学期听课不少于20节，中层、教研组长、年级组长不少于25节，新教师不少于30节。教研组配合课程指导中心加强教师听课检查，听课后及时交换意见，取长补短，共同提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4、各备课组强化质量意识。九年级要加强对毕业班的教学调研，力争2022年中考稳中有升。加强集体备课，集体备课活动时间，以确定的时间和不确定的时间相互结合为主，每周确定的时间集体备课，平时利用不确定的时间交流教学心得、教学方法，提高教师的备课质量。其一，备教学大纲，备教材、教法，备学生的学习心理和学习方法，备知识和能力的检测方法。其二，备教师的指导，备学生的学习活动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5、强化科研意识。贯彻学校的“科研兴校”战略，教研组配合教科室作好课题组工作，积极撰写论文，强化组内科研氛围。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在大面积提高教学质量的同时，教师们要抓好培优补差工作。要抓好后进生的转化工作。作为一名教师，要坚持不放弃每一个后进生，要以良好的心态接纳他们，给他们以更多的关心和爱护，相信每一个学生都能学到自己适合的数学，让他们在数学学习上有所进步，以提高学校的数学成绩合格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7、各备课组搞好自编资料的积累和整理，做到分工协作，共同收益，逐步完善本组的教学资料库。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eastAsia="宋体" w:cs="Times New Roman"/>
          <w:lang w:val="en-US" w:eastAsia="zh-CN"/>
        </w:rPr>
        <w:t>四、</w:t>
      </w:r>
      <w:r>
        <w:rPr>
          <w:rFonts w:hint="eastAsia" w:ascii="Times New Roman" w:hAnsi="Times New Roman" w:eastAsia="宋体" w:cs="Times New Roman"/>
          <w:lang w:val="en-US" w:eastAsia="zh-CN"/>
        </w:rPr>
        <w:t>取得成果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/>
          <w:lang w:val="en-US" w:eastAsia="zh-CN"/>
        </w:rPr>
        <w:t>区级课题《初中数学动态分层作业设计与实施研究》于2023.12.30日顺利结题，</w:t>
      </w:r>
      <w:r>
        <w:rPr>
          <w:rFonts w:hint="eastAsia" w:ascii="Times New Roman" w:hAnsi="Times New Roman" w:eastAsia="宋体" w:cs="Times New Roman"/>
          <w:lang w:val="en-US" w:eastAsia="zh-CN"/>
        </w:rPr>
        <w:t>教研组取得了一定的成绩。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1.建立了课题特色网站。课题网站点击率较高，信息量大，特色鲜明,分类明确,是教师们交流学习、资源共享的平台，更增强了此课题研究的影响力与辐射力。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2.在论文</w:t>
      </w:r>
      <w:r>
        <w:rPr>
          <w:rFonts w:hint="eastAsia" w:eastAsia="宋体" w:cs="Times New Roman"/>
          <w:lang w:val="en-US" w:eastAsia="zh-CN"/>
        </w:rPr>
        <w:t>发表获奖</w:t>
      </w:r>
      <w:r>
        <w:rPr>
          <w:rFonts w:hint="eastAsia" w:ascii="Times New Roman" w:hAnsi="Times New Roman" w:eastAsia="宋体" w:cs="Times New Roman"/>
          <w:lang w:val="en-US" w:eastAsia="zh-CN"/>
        </w:rPr>
        <w:t>方面：</w:t>
      </w:r>
    </w:p>
    <w:tbl>
      <w:tblPr>
        <w:tblStyle w:val="5"/>
        <w:tblpPr w:leftFromText="180" w:rightFromText="180" w:vertAnchor="text" w:horzAnchor="page" w:tblpXSpec="center" w:tblpY="315"/>
        <w:tblOverlap w:val="never"/>
        <w:tblW w:w="9285" w:type="dxa"/>
        <w:jc w:val="center"/>
        <w:tblBorders>
          <w:top w:val="single" w:color="000000" w:themeColor="text1" w:sz="6" w:space="0"/>
          <w:left w:val="single" w:color="000000" w:themeColor="text1" w:sz="6" w:space="0"/>
          <w:bottom w:val="single" w:color="000000" w:themeColor="text1" w:sz="6" w:space="0"/>
          <w:right w:val="single" w:color="000000" w:themeColor="text1" w:sz="6" w:space="0"/>
          <w:insideH w:val="single" w:color="000000" w:themeColor="text1" w:sz="6" w:space="0"/>
          <w:insideV w:val="single" w:color="000000" w:themeColor="text1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882"/>
        <w:gridCol w:w="3323"/>
      </w:tblGrid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作者</w:t>
            </w:r>
          </w:p>
        </w:tc>
        <w:tc>
          <w:tcPr>
            <w:tcW w:w="4882" w:type="dxa"/>
            <w:tcBorders>
              <w:tl2br w:val="nil"/>
              <w:tr2bl w:val="nil"/>
            </w:tcBorders>
            <w:vAlign w:val="center"/>
          </w:tcPr>
          <w:p>
            <w:pPr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</w:t>
            </w:r>
          </w:p>
        </w:tc>
        <w:tc>
          <w:tcPr>
            <w:tcW w:w="3323" w:type="dxa"/>
            <w:tcBorders>
              <w:tl2br w:val="nil"/>
              <w:tr2bl w:val="nil"/>
            </w:tcBorders>
            <w:vAlign w:val="center"/>
          </w:tcPr>
          <w:p>
            <w:pPr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发表／获奖时间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108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沈虹</w:t>
            </w:r>
          </w:p>
        </w:tc>
        <w:tc>
          <w:tcPr>
            <w:tcW w:w="4882" w:type="dxa"/>
            <w:tcBorders>
              <w:tl2br w:val="nil"/>
              <w:tr2bl w:val="nil"/>
            </w:tcBorders>
          </w:tcPr>
          <w:p>
            <w:pPr>
              <w:contextualSpacing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《例谈“双减”背景下初中数学动态分层作业设计与实施》</w:t>
            </w:r>
          </w:p>
        </w:tc>
        <w:tc>
          <w:tcPr>
            <w:tcW w:w="3323" w:type="dxa"/>
            <w:tcBorders>
              <w:tl2br w:val="nil"/>
              <w:tr2bl w:val="nil"/>
            </w:tcBorders>
          </w:tcPr>
          <w:p>
            <w:pPr>
              <w:contextualSpacing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双减工作优秀案例</w:t>
            </w:r>
            <w:r>
              <w:rPr>
                <w:rFonts w:hint="eastAsia" w:ascii="宋体" w:hAnsi="宋体"/>
                <w:sz w:val="24"/>
              </w:rPr>
              <w:t>三等奖20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3.5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4882" w:type="dxa"/>
            <w:tcBorders>
              <w:tl2br w:val="nil"/>
              <w:tr2bl w:val="nil"/>
            </w:tcBorders>
          </w:tcPr>
          <w:p>
            <w:pPr>
              <w:contextualSpacing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《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初中数学动态分层作业设计与实施策略</w:t>
            </w:r>
          </w:p>
          <w:p>
            <w:pPr>
              <w:contextualSpacing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——以九年级《圆》教学为例</w:t>
            </w:r>
            <w:r>
              <w:rPr>
                <w:rFonts w:hint="eastAsia" w:ascii="宋体" w:hAnsi="宋体"/>
                <w:sz w:val="24"/>
              </w:rPr>
              <w:t>》</w:t>
            </w:r>
          </w:p>
        </w:tc>
        <w:tc>
          <w:tcPr>
            <w:tcW w:w="3323" w:type="dxa"/>
            <w:tcBorders>
              <w:tl2br w:val="nil"/>
              <w:tr2bl w:val="nil"/>
            </w:tcBorders>
          </w:tcPr>
          <w:p>
            <w:pPr>
              <w:contextualSpacing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教海探航二</w:t>
            </w:r>
            <w:r>
              <w:rPr>
                <w:rFonts w:hint="eastAsia" w:ascii="宋体" w:hAnsi="宋体"/>
                <w:sz w:val="24"/>
              </w:rPr>
              <w:t>等奖20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23.4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4882" w:type="dxa"/>
            <w:tcBorders>
              <w:tl2br w:val="nil"/>
              <w:tr2bl w:val="nil"/>
            </w:tcBorders>
          </w:tcPr>
          <w:p>
            <w:pPr>
              <w:contextualSpacing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《双减背景下初中数学动态分层作业设计与实施》</w:t>
            </w:r>
          </w:p>
        </w:tc>
        <w:tc>
          <w:tcPr>
            <w:tcW w:w="3323" w:type="dxa"/>
            <w:tcBorders>
              <w:tl2br w:val="nil"/>
              <w:tr2bl w:val="nil"/>
            </w:tcBorders>
            <w:vAlign w:val="top"/>
          </w:tcPr>
          <w:p>
            <w:pPr>
              <w:contextualSpacing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教海探航二</w:t>
            </w:r>
            <w:r>
              <w:rPr>
                <w:rFonts w:hint="eastAsia" w:ascii="宋体" w:hAnsi="宋体"/>
                <w:sz w:val="24"/>
              </w:rPr>
              <w:t>等奖20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22.7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4882" w:type="dxa"/>
            <w:tcBorders>
              <w:tl2br w:val="nil"/>
              <w:tr2bl w:val="nil"/>
            </w:tcBorders>
          </w:tcPr>
          <w:p>
            <w:pPr>
              <w:contextualSpacing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《类比变式在分层作业设计中的运用策略》</w:t>
            </w:r>
          </w:p>
        </w:tc>
        <w:tc>
          <w:tcPr>
            <w:tcW w:w="3323" w:type="dxa"/>
            <w:tcBorders>
              <w:tl2br w:val="nil"/>
              <w:tr2bl w:val="nil"/>
            </w:tcBorders>
          </w:tcPr>
          <w:p>
            <w:pPr>
              <w:contextualSpacing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《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卷宗</w:t>
            </w:r>
            <w:r>
              <w:rPr>
                <w:rFonts w:hint="eastAsia" w:ascii="宋体" w:hAnsi="宋体"/>
                <w:sz w:val="24"/>
              </w:rPr>
              <w:t>》2</w:t>
            </w:r>
            <w:r>
              <w:rPr>
                <w:rFonts w:ascii="宋体" w:hAnsi="宋体"/>
                <w:sz w:val="24"/>
              </w:rPr>
              <w:t>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3.9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4882" w:type="dxa"/>
            <w:tcBorders>
              <w:tl2br w:val="nil"/>
              <w:tr2bl w:val="nil"/>
            </w:tcBorders>
          </w:tcPr>
          <w:p>
            <w:pPr>
              <w:contextualSpacing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《</w:t>
            </w:r>
            <w:r>
              <w:rPr>
                <w:rFonts w:hint="eastAsia" w:ascii="宋体" w:hAnsi="宋体"/>
                <w:sz w:val="24"/>
              </w:rPr>
              <w:t>初中数学专题课中渗透分层作业设计的有效策略</w:t>
            </w:r>
            <w:r>
              <w:rPr>
                <w:rFonts w:hint="eastAsia" w:ascii="宋体" w:hAnsi="宋体"/>
                <w:sz w:val="24"/>
                <w:lang w:eastAsia="zh-CN"/>
              </w:rPr>
              <w:t>》</w:t>
            </w:r>
          </w:p>
        </w:tc>
        <w:tc>
          <w:tcPr>
            <w:tcW w:w="3323" w:type="dxa"/>
            <w:tcBorders>
              <w:tl2br w:val="nil"/>
              <w:tr2bl w:val="nil"/>
            </w:tcBorders>
            <w:vAlign w:val="top"/>
          </w:tcPr>
          <w:p>
            <w:pPr>
              <w:contextualSpacing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《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智慧东方</w:t>
            </w:r>
            <w:r>
              <w:rPr>
                <w:rFonts w:hint="eastAsia" w:ascii="宋体" w:hAnsi="宋体"/>
                <w:sz w:val="24"/>
              </w:rPr>
              <w:t>》2</w:t>
            </w:r>
            <w:r>
              <w:rPr>
                <w:rFonts w:ascii="宋体" w:hAnsi="宋体"/>
                <w:sz w:val="24"/>
              </w:rPr>
              <w:t>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3.6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8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曹絮</w:t>
            </w:r>
          </w:p>
        </w:tc>
        <w:tc>
          <w:tcPr>
            <w:tcW w:w="4882" w:type="dxa"/>
            <w:tcBorders>
              <w:tl2br w:val="nil"/>
              <w:tr2bl w:val="nil"/>
            </w:tcBorders>
          </w:tcPr>
          <w:p>
            <w:pPr>
              <w:spacing w:before="156" w:beforeLines="50"/>
              <w:contextualSpacing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《“双减”背景下初中数学分层作业的设计与研究——以“专题课：反比例系数中的k 与面积”为例》</w:t>
            </w:r>
          </w:p>
        </w:tc>
        <w:tc>
          <w:tcPr>
            <w:tcW w:w="3323" w:type="dxa"/>
            <w:tcBorders>
              <w:tl2br w:val="nil"/>
              <w:tr2bl w:val="nil"/>
            </w:tcBorders>
          </w:tcPr>
          <w:p>
            <w:pPr>
              <w:contextualSpacing/>
              <w:rPr>
                <w:rFonts w:ascii="宋体" w:hAnsi="宋体"/>
                <w:sz w:val="24"/>
              </w:rPr>
            </w:pPr>
          </w:p>
          <w:p>
            <w:pPr>
              <w:contextualSpacing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中数会二等奖2022.10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4882" w:type="dxa"/>
            <w:tcBorders>
              <w:tl2br w:val="nil"/>
              <w:tr2bl w:val="nil"/>
            </w:tcBorders>
          </w:tcPr>
          <w:p>
            <w:pPr>
              <w:spacing w:before="156" w:beforeLines="50"/>
              <w:contextualSpacing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《浅谈初中数学高效课堂模式下的分层教学》</w:t>
            </w:r>
          </w:p>
        </w:tc>
        <w:tc>
          <w:tcPr>
            <w:tcW w:w="3323" w:type="dxa"/>
            <w:tcBorders>
              <w:tl2br w:val="nil"/>
              <w:tr2bl w:val="nil"/>
            </w:tcBorders>
          </w:tcPr>
          <w:p>
            <w:pPr>
              <w:contextualSpacing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《教学与研究》2023.5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吴烨</w:t>
            </w:r>
          </w:p>
        </w:tc>
        <w:tc>
          <w:tcPr>
            <w:tcW w:w="4882" w:type="dxa"/>
            <w:tcBorders>
              <w:tl2br w:val="nil"/>
              <w:tr2bl w:val="nil"/>
            </w:tcBorders>
          </w:tcPr>
          <w:p>
            <w:pPr>
              <w:spacing w:before="156" w:beforeLines="50"/>
              <w:contextualSpacing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《生命课堂理念下初中数学分层教学案例研究》</w:t>
            </w:r>
          </w:p>
        </w:tc>
        <w:tc>
          <w:tcPr>
            <w:tcW w:w="3323" w:type="dxa"/>
            <w:tcBorders>
              <w:tl2br w:val="nil"/>
              <w:tr2bl w:val="nil"/>
            </w:tcBorders>
          </w:tcPr>
          <w:p>
            <w:pPr>
              <w:contextualSpacing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《课堂内外》2023.7</w:t>
            </w:r>
          </w:p>
        </w:tc>
      </w:tr>
      <w:tr>
        <w:tblPrEx>
          <w:tblBorders>
            <w:top w:val="single" w:color="000000" w:themeColor="text1" w:sz="6" w:space="0"/>
            <w:left w:val="single" w:color="000000" w:themeColor="text1" w:sz="6" w:space="0"/>
            <w:bottom w:val="single" w:color="000000" w:themeColor="text1" w:sz="6" w:space="0"/>
            <w:right w:val="single" w:color="000000" w:themeColor="text1" w:sz="6" w:space="0"/>
            <w:insideH w:val="single" w:color="000000" w:themeColor="text1" w:sz="6" w:space="0"/>
            <w:insideV w:val="single" w:color="000000" w:themeColor="text1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80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江晶</w:t>
            </w:r>
          </w:p>
        </w:tc>
        <w:tc>
          <w:tcPr>
            <w:tcW w:w="4882" w:type="dxa"/>
            <w:tcBorders>
              <w:tl2br w:val="nil"/>
              <w:tr2bl w:val="nil"/>
            </w:tcBorders>
          </w:tcPr>
          <w:p>
            <w:pPr>
              <w:spacing w:before="156" w:beforeLines="50"/>
              <w:contextualSpacing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《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基于单元视角的初中数学动态分层作业设计研究</w:t>
            </w:r>
            <w:r>
              <w:rPr>
                <w:rFonts w:hint="eastAsia" w:ascii="宋体" w:hAnsi="宋体"/>
                <w:sz w:val="24"/>
                <w:lang w:eastAsia="zh-CN"/>
              </w:rPr>
              <w:t>》</w:t>
            </w:r>
          </w:p>
        </w:tc>
        <w:tc>
          <w:tcPr>
            <w:tcW w:w="3323" w:type="dxa"/>
            <w:tcBorders>
              <w:tl2br w:val="nil"/>
              <w:tr2bl w:val="nil"/>
            </w:tcBorders>
          </w:tcPr>
          <w:p>
            <w:pPr>
              <w:contextualSpacing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《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教育论坛</w:t>
            </w:r>
            <w:r>
              <w:rPr>
                <w:rFonts w:hint="eastAsia" w:ascii="宋体" w:hAnsi="宋体"/>
                <w:sz w:val="24"/>
                <w:lang w:eastAsia="zh-CN"/>
              </w:rPr>
              <w:t>》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2023.5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六、存在问题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自数学组课题开题论证后，本课题根据研究目标和研究内容进行了深入的理论研究，并在教研组全面推进实践研究，取得了较好的理论成果和一定的实践成效。但由于时间不长，研究力量不足，推进措施还不够扎实等因素，许多问题还研究得不够深刻，特别是教研组的实践研究比较滞后，实践成效尚不明显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七、改进措施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1.继续</w:t>
      </w:r>
      <w:r>
        <w:rPr>
          <w:rFonts w:hint="eastAsia" w:eastAsia="宋体" w:cs="Times New Roman"/>
          <w:lang w:val="en-US" w:eastAsia="zh-CN"/>
        </w:rPr>
        <w:t>推进新一轮</w:t>
      </w:r>
      <w:r>
        <w:rPr>
          <w:rFonts w:hint="eastAsia" w:ascii="Times New Roman" w:hAnsi="Times New Roman" w:eastAsia="宋体" w:cs="Times New Roman"/>
          <w:lang w:val="en-US" w:eastAsia="zh-CN"/>
        </w:rPr>
        <w:t>课题研究，扎实开展《新课标》、《新基础》等理论学习，组织读书沙龙活动，撰写理论学习心得。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eastAsia="宋体" w:cs="Times New Roman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.积累相关素材，帮助、鼓励组内新教师进行论文撰写。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eastAsia="宋体" w:cs="Times New Roman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lang w:val="en-US" w:eastAsia="zh-CN"/>
        </w:rPr>
        <w:t>.认真组织教研组内研讨会议，每次有主题、有针对性的开展校内校外教研活动，扎实推进后续研究。</w:t>
      </w:r>
    </w:p>
    <w:p>
      <w:pPr>
        <w:widowControl/>
        <w:tabs>
          <w:tab w:val="left" w:pos="595"/>
          <w:tab w:val="right" w:pos="8426"/>
        </w:tabs>
        <w:spacing w:line="440" w:lineRule="exact"/>
        <w:ind w:firstLine="7680" w:firstLineChars="3200"/>
        <w:jc w:val="left"/>
        <w:rPr>
          <w:rFonts w:hint="eastAsia" w:ascii="宋体" w:hAnsi="宋体" w:eastAsia="宋体" w:cs="Arial"/>
          <w:kern w:val="0"/>
          <w:sz w:val="24"/>
          <w:lang w:val="en-US" w:eastAsia="zh-CN"/>
        </w:rPr>
      </w:pPr>
      <w:r>
        <w:rPr>
          <w:rFonts w:hint="eastAsia" w:ascii="宋体" w:hAnsi="宋体" w:cs="Arial"/>
          <w:kern w:val="0"/>
          <w:sz w:val="24"/>
          <w:lang w:val="en-US" w:eastAsia="zh-CN"/>
        </w:rPr>
        <w:t>沈虹</w:t>
      </w:r>
    </w:p>
    <w:p>
      <w:pPr>
        <w:widowControl/>
        <w:spacing w:line="440" w:lineRule="exact"/>
        <w:ind w:firstLine="480" w:firstLineChars="200"/>
        <w:jc w:val="right"/>
        <w:rPr>
          <w:rFonts w:hint="default" w:ascii="宋体" w:hAnsi="宋体" w:eastAsia="宋体" w:cs="Arial"/>
          <w:kern w:val="0"/>
          <w:sz w:val="24"/>
          <w:lang w:val="en-US" w:eastAsia="zh-CN"/>
        </w:rPr>
      </w:pPr>
      <w:r>
        <w:rPr>
          <w:rFonts w:hint="eastAsia" w:ascii="宋体" w:hAnsi="宋体" w:cs="Arial"/>
          <w:kern w:val="0"/>
          <w:sz w:val="24"/>
        </w:rPr>
        <w:t>202</w:t>
      </w:r>
      <w:r>
        <w:rPr>
          <w:rFonts w:hint="eastAsia" w:ascii="宋体" w:hAnsi="宋体" w:cs="Arial"/>
          <w:kern w:val="0"/>
          <w:sz w:val="24"/>
          <w:lang w:val="en-US" w:eastAsia="zh-CN"/>
        </w:rPr>
        <w:t>4.1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55AD2B33"/>
    <w:rsid w:val="005F037B"/>
    <w:rsid w:val="00BF706B"/>
    <w:rsid w:val="017B11E4"/>
    <w:rsid w:val="01852063"/>
    <w:rsid w:val="04FC263C"/>
    <w:rsid w:val="059E7B97"/>
    <w:rsid w:val="074B78AB"/>
    <w:rsid w:val="08444A26"/>
    <w:rsid w:val="08D12032"/>
    <w:rsid w:val="09C53944"/>
    <w:rsid w:val="0A6D7B38"/>
    <w:rsid w:val="0C1C1816"/>
    <w:rsid w:val="0C631EA5"/>
    <w:rsid w:val="0E4017EB"/>
    <w:rsid w:val="0F67724C"/>
    <w:rsid w:val="0FE268D2"/>
    <w:rsid w:val="100D394F"/>
    <w:rsid w:val="11253B0A"/>
    <w:rsid w:val="120B24D6"/>
    <w:rsid w:val="1230601B"/>
    <w:rsid w:val="12C64289"/>
    <w:rsid w:val="13482EF0"/>
    <w:rsid w:val="14E629C1"/>
    <w:rsid w:val="152B4878"/>
    <w:rsid w:val="157F52EF"/>
    <w:rsid w:val="168D3A3C"/>
    <w:rsid w:val="18AB63FB"/>
    <w:rsid w:val="18D25736"/>
    <w:rsid w:val="19377C8F"/>
    <w:rsid w:val="19887109"/>
    <w:rsid w:val="1AB71D90"/>
    <w:rsid w:val="1B0339AF"/>
    <w:rsid w:val="1E890F8D"/>
    <w:rsid w:val="1F170346"/>
    <w:rsid w:val="1FE3647B"/>
    <w:rsid w:val="20144886"/>
    <w:rsid w:val="22A719E1"/>
    <w:rsid w:val="234F253F"/>
    <w:rsid w:val="27D668C5"/>
    <w:rsid w:val="28814A83"/>
    <w:rsid w:val="2984482A"/>
    <w:rsid w:val="29A1655C"/>
    <w:rsid w:val="29BF1033"/>
    <w:rsid w:val="2A904C7B"/>
    <w:rsid w:val="2ACF41CB"/>
    <w:rsid w:val="2D3207A8"/>
    <w:rsid w:val="2E8408BF"/>
    <w:rsid w:val="2F8F4CC0"/>
    <w:rsid w:val="309F63EE"/>
    <w:rsid w:val="30BA4FD6"/>
    <w:rsid w:val="30EB0C9A"/>
    <w:rsid w:val="311E37B6"/>
    <w:rsid w:val="31336B36"/>
    <w:rsid w:val="32935ADE"/>
    <w:rsid w:val="34E358D4"/>
    <w:rsid w:val="35643762"/>
    <w:rsid w:val="35647C06"/>
    <w:rsid w:val="359F29EC"/>
    <w:rsid w:val="372C5141"/>
    <w:rsid w:val="38705E92"/>
    <w:rsid w:val="39B8407C"/>
    <w:rsid w:val="3C236125"/>
    <w:rsid w:val="3C355E58"/>
    <w:rsid w:val="3FFF0C57"/>
    <w:rsid w:val="41FB36A0"/>
    <w:rsid w:val="420267DC"/>
    <w:rsid w:val="42852AAE"/>
    <w:rsid w:val="43362BE2"/>
    <w:rsid w:val="43CC0E50"/>
    <w:rsid w:val="445D419E"/>
    <w:rsid w:val="44906321"/>
    <w:rsid w:val="458112BC"/>
    <w:rsid w:val="45E9583E"/>
    <w:rsid w:val="45EE77A4"/>
    <w:rsid w:val="468F671B"/>
    <w:rsid w:val="478A7058"/>
    <w:rsid w:val="49575660"/>
    <w:rsid w:val="499441BE"/>
    <w:rsid w:val="49D92519"/>
    <w:rsid w:val="4A1452FF"/>
    <w:rsid w:val="4AA423AF"/>
    <w:rsid w:val="4ACF23EC"/>
    <w:rsid w:val="4ADA20A4"/>
    <w:rsid w:val="4B3C4B0D"/>
    <w:rsid w:val="4C777851"/>
    <w:rsid w:val="4EB64FF2"/>
    <w:rsid w:val="4F5A3042"/>
    <w:rsid w:val="50BA3BA3"/>
    <w:rsid w:val="50C23D07"/>
    <w:rsid w:val="50F33EC0"/>
    <w:rsid w:val="511300BE"/>
    <w:rsid w:val="51B15B29"/>
    <w:rsid w:val="520B5239"/>
    <w:rsid w:val="52636E23"/>
    <w:rsid w:val="540C5299"/>
    <w:rsid w:val="54F77CF7"/>
    <w:rsid w:val="55AD2B33"/>
    <w:rsid w:val="562F4AC6"/>
    <w:rsid w:val="56AF0889"/>
    <w:rsid w:val="56E36785"/>
    <w:rsid w:val="575E5958"/>
    <w:rsid w:val="59CC3500"/>
    <w:rsid w:val="5B4041A6"/>
    <w:rsid w:val="5BE8197E"/>
    <w:rsid w:val="609B00D0"/>
    <w:rsid w:val="60C12FD8"/>
    <w:rsid w:val="66293950"/>
    <w:rsid w:val="663761A5"/>
    <w:rsid w:val="66F916AD"/>
    <w:rsid w:val="670C5884"/>
    <w:rsid w:val="68464DC5"/>
    <w:rsid w:val="6A6E08E5"/>
    <w:rsid w:val="6A7379C8"/>
    <w:rsid w:val="6B6F018F"/>
    <w:rsid w:val="6E327082"/>
    <w:rsid w:val="73010267"/>
    <w:rsid w:val="73442382"/>
    <w:rsid w:val="73F90F3E"/>
    <w:rsid w:val="74212243"/>
    <w:rsid w:val="749F7D37"/>
    <w:rsid w:val="74C90910"/>
    <w:rsid w:val="755A3C5E"/>
    <w:rsid w:val="76DB0DCF"/>
    <w:rsid w:val="784B5AE0"/>
    <w:rsid w:val="7879089F"/>
    <w:rsid w:val="79224A93"/>
    <w:rsid w:val="798E037A"/>
    <w:rsid w:val="7A3E3B4E"/>
    <w:rsid w:val="7AA53BCD"/>
    <w:rsid w:val="7B593740"/>
    <w:rsid w:val="7C5A4544"/>
    <w:rsid w:val="7C945CA8"/>
    <w:rsid w:val="7E02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1385</Words>
  <Characters>1443</Characters>
  <Lines>0</Lines>
  <Paragraphs>0</Paragraphs>
  <TotalTime>0</TotalTime>
  <ScaleCrop>false</ScaleCrop>
  <LinksUpToDate>false</LinksUpToDate>
  <CharactersWithSpaces>1446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2022-08-27T23:36:00Z</dcterms:created>
  <dc:creator>沈小虫</dc:creator>
  <cp:lastModifiedBy>沈小虫</cp:lastModifiedBy>
  <dcterms:modified xsi:type="dcterms:W3CDTF">2024-01-22T06:33:28Z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F7D15F80D015476A98CE13D905794D2E</vt:lpwstr>
  </property>
</Properties>
</file>