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47C4E76">
      <w:pPr>
        <w:pStyle w:val="style0"/>
        <w:jc w:val="left"/>
        <w:rPr>
          <w:rFonts w:ascii="黑体" w:eastAsia="黑体" w:hAnsi="黑体"/>
          <w:b/>
          <w:bCs/>
          <w:color w:val="auto"/>
          <w:sz w:val="36"/>
          <w:szCs w:val="36"/>
        </w:rPr>
      </w:pPr>
      <w:r>
        <w:rPr>
          <w:rFonts w:ascii="黑体" w:cs="黑体" w:eastAsia="黑体" w:hAnsi="黑体" w:hint="eastAsia"/>
          <w:color w:val="auto"/>
          <w:sz w:val="32"/>
          <w:szCs w:val="32"/>
        </w:rPr>
        <w:t>附件</w:t>
      </w:r>
      <w:r>
        <w:rPr>
          <w:rFonts w:ascii="黑体" w:cs="黑体" w:eastAsia="黑体" w:hAnsi="黑体"/>
          <w:color w:val="auto"/>
          <w:sz w:val="32"/>
          <w:szCs w:val="32"/>
        </w:rPr>
        <w:t>2</w:t>
      </w:r>
    </w:p>
    <w:p w14:paraId="2E8475C5">
      <w:pPr>
        <w:pStyle w:val="style0"/>
        <w:jc w:val="center"/>
        <w:rPr>
          <w:rFonts w:ascii="方正小标宋简体" w:eastAsia="方正小标宋简体"/>
          <w:color w:val="auto"/>
          <w:sz w:val="32"/>
          <w:szCs w:val="32"/>
        </w:rPr>
      </w:pPr>
      <w:r>
        <w:rPr>
          <w:rFonts w:ascii="方正小标宋简体" w:cs="方正小标宋简体" w:eastAsia="方正小标宋简体" w:hint="eastAsia"/>
          <w:color w:val="auto"/>
          <w:sz w:val="32"/>
          <w:szCs w:val="32"/>
        </w:rPr>
        <w:t>常州市东青实验学校教研组工作考核评价汇总表</w:t>
      </w:r>
    </w:p>
    <w:tbl>
      <w:tblPr>
        <w:tblStyle w:val="style105"/>
        <w:tblW w:w="8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"/>
        <w:gridCol w:w="1521"/>
        <w:gridCol w:w="177"/>
        <w:gridCol w:w="901"/>
        <w:gridCol w:w="313"/>
        <w:gridCol w:w="1152"/>
        <w:gridCol w:w="142"/>
        <w:gridCol w:w="1009"/>
        <w:gridCol w:w="503"/>
        <w:gridCol w:w="404"/>
        <w:gridCol w:w="946"/>
        <w:gridCol w:w="706"/>
        <w:gridCol w:w="630"/>
        <w:gridCol w:w="131"/>
      </w:tblGrid>
      <w:tr w14:paraId="56464EBD"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tcBorders/>
            <w:vAlign w:val="center"/>
          </w:tcPr>
          <w:p w14:paraId="62EF12AE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学</w:t>
            </w:r>
            <w:r>
              <w:rPr>
                <w:rFonts w:ascii="仿宋_GB2312" w:cs="仿宋_GB2312" w:eastAsia="仿宋_GB2312"/>
                <w:color w:val="auto"/>
              </w:rPr>
              <w:t xml:space="preserve"> </w:t>
            </w:r>
            <w:r>
              <w:rPr>
                <w:rFonts w:ascii="仿宋_GB2312" w:cs="仿宋_GB2312" w:eastAsia="仿宋_GB2312" w:hint="eastAsia"/>
                <w:color w:val="auto"/>
              </w:rPr>
              <w:t>校</w:t>
            </w:r>
          </w:p>
        </w:tc>
        <w:tc>
          <w:tcPr>
            <w:tcW w:w="2459" w:type="dxa"/>
            <w:gridSpan w:val="3"/>
            <w:tcBorders/>
            <w:vAlign w:val="center"/>
          </w:tcPr>
          <w:p w14:paraId="1440CC72">
            <w:pPr>
              <w:pStyle w:val="style0"/>
              <w:jc w:val="center"/>
              <w:rPr>
                <w:rFonts w:ascii="仿宋_GB2312" w:eastAsia="仿宋_GB2312" w:hint="default"/>
                <w:color w:val="auto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lang w:val="en-US" w:eastAsia="zh-CN"/>
              </w:rPr>
              <w:t>常州市东青实验学校</w:t>
            </w:r>
          </w:p>
        </w:tc>
        <w:tc>
          <w:tcPr>
            <w:tcW w:w="1181" w:type="dxa"/>
            <w:gridSpan w:val="2"/>
            <w:tcBorders/>
            <w:vAlign w:val="center"/>
          </w:tcPr>
          <w:p w14:paraId="4D938B8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教研组</w:t>
            </w:r>
          </w:p>
        </w:tc>
        <w:tc>
          <w:tcPr>
            <w:tcW w:w="1902" w:type="dxa"/>
            <w:gridSpan w:val="3"/>
            <w:tcBorders/>
            <w:vAlign w:val="center"/>
          </w:tcPr>
          <w:p w14:paraId="549D386D">
            <w:pPr>
              <w:pStyle w:val="style0"/>
              <w:jc w:val="center"/>
              <w:rPr>
                <w:rFonts w:ascii="仿宋_GB2312" w:eastAsia="仿宋_GB2312" w:hint="eastAsia"/>
                <w:color w:val="auto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lang w:val="en-US" w:eastAsia="zh-CN"/>
              </w:rPr>
              <w:t>综合组</w:t>
            </w:r>
          </w:p>
        </w:tc>
        <w:tc>
          <w:tcPr>
            <w:tcW w:w="524" w:type="dxa"/>
            <w:tcBorders/>
            <w:vAlign w:val="center"/>
          </w:tcPr>
          <w:p w14:paraId="673ADB42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人数</w:t>
            </w:r>
          </w:p>
        </w:tc>
        <w:tc>
          <w:tcPr>
            <w:tcW w:w="640" w:type="dxa"/>
            <w:tcBorders/>
            <w:vAlign w:val="center"/>
          </w:tcPr>
          <w:p w14:paraId="4E067204">
            <w:pPr>
              <w:pStyle w:val="style0"/>
              <w:jc w:val="center"/>
              <w:rPr>
                <w:rFonts w:ascii="仿宋_GB2312" w:eastAsia="仿宋_GB2312" w:hint="eastAsia"/>
                <w:color w:val="auto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lang w:val="en-US" w:eastAsia="zh-CN"/>
              </w:rPr>
              <w:t>7</w:t>
            </w:r>
          </w:p>
        </w:tc>
      </w:tr>
      <w:tr w14:paraId="7A58CCB7">
        <w:tblPrEx/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tcBorders/>
            <w:vAlign w:val="center"/>
          </w:tcPr>
          <w:p w14:paraId="62AEC8B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5" w:type="dxa"/>
            <w:gridSpan w:val="2"/>
            <w:tcBorders/>
            <w:vAlign w:val="center"/>
          </w:tcPr>
          <w:p w14:paraId="5D683DD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姓</w:t>
            </w:r>
            <w:r>
              <w:rPr>
                <w:rFonts w:ascii="仿宋_GB2312" w:cs="仿宋_GB2312" w:eastAsia="仿宋_GB2312"/>
                <w:color w:val="auto"/>
              </w:rPr>
              <w:t xml:space="preserve"> </w:t>
            </w:r>
            <w:r>
              <w:rPr>
                <w:rFonts w:ascii="仿宋_GB2312" w:cs="仿宋_GB2312" w:eastAsia="仿宋_GB2312" w:hint="eastAsia"/>
                <w:color w:val="auto"/>
              </w:rPr>
              <w:t>名</w:t>
            </w:r>
          </w:p>
        </w:tc>
        <w:tc>
          <w:tcPr>
            <w:tcW w:w="1194" w:type="dxa"/>
            <w:tcBorders/>
            <w:vAlign w:val="center"/>
          </w:tcPr>
          <w:p w14:paraId="63BC79B9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学</w:t>
            </w:r>
            <w:r>
              <w:rPr>
                <w:rFonts w:ascii="仿宋_GB2312" w:cs="仿宋_GB2312" w:eastAsia="仿宋_GB2312"/>
                <w:color w:val="auto"/>
              </w:rPr>
              <w:t xml:space="preserve"> </w:t>
            </w:r>
            <w:r>
              <w:rPr>
                <w:rFonts w:ascii="仿宋_GB2312" w:cs="仿宋_GB2312" w:eastAsia="仿宋_GB2312" w:hint="eastAsia"/>
                <w:color w:val="auto"/>
              </w:rPr>
              <w:t>历</w:t>
            </w:r>
          </w:p>
        </w:tc>
        <w:tc>
          <w:tcPr>
            <w:tcW w:w="1181" w:type="dxa"/>
            <w:gridSpan w:val="2"/>
            <w:tcBorders/>
            <w:vAlign w:val="center"/>
          </w:tcPr>
          <w:p w14:paraId="64DA830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职</w:t>
            </w:r>
            <w:r>
              <w:rPr>
                <w:rFonts w:ascii="仿宋_GB2312" w:cs="仿宋_GB2312" w:eastAsia="仿宋_GB2312"/>
                <w:color w:val="auto"/>
              </w:rPr>
              <w:t xml:space="preserve"> </w:t>
            </w:r>
            <w:r>
              <w:rPr>
                <w:rFonts w:ascii="仿宋_GB2312" w:cs="仿宋_GB2312" w:eastAsia="仿宋_GB2312" w:hint="eastAsia"/>
                <w:color w:val="auto"/>
              </w:rPr>
              <w:t>称</w:t>
            </w:r>
          </w:p>
        </w:tc>
        <w:tc>
          <w:tcPr>
            <w:tcW w:w="934" w:type="dxa"/>
            <w:gridSpan w:val="2"/>
            <w:tcBorders/>
            <w:vAlign w:val="center"/>
          </w:tcPr>
          <w:p w14:paraId="4A453CF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性</w:t>
            </w:r>
            <w:r>
              <w:rPr>
                <w:rFonts w:ascii="仿宋_GB2312" w:cs="仿宋_GB2312" w:eastAsia="仿宋_GB2312"/>
                <w:color w:val="auto"/>
              </w:rPr>
              <w:t xml:space="preserve"> </w:t>
            </w:r>
            <w:r>
              <w:rPr>
                <w:rFonts w:ascii="仿宋_GB2312" w:cs="仿宋_GB2312" w:eastAsia="仿宋_GB2312" w:hint="eastAsia"/>
                <w:color w:val="auto"/>
              </w:rPr>
              <w:t>别</w:t>
            </w:r>
          </w:p>
        </w:tc>
        <w:tc>
          <w:tcPr>
            <w:tcW w:w="968" w:type="dxa"/>
            <w:tcBorders/>
            <w:vAlign w:val="center"/>
          </w:tcPr>
          <w:p w14:paraId="1B32C34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年</w:t>
            </w:r>
            <w:r>
              <w:rPr>
                <w:rFonts w:ascii="仿宋_GB2312" w:cs="仿宋_GB2312" w:eastAsia="仿宋_GB2312"/>
                <w:color w:val="auto"/>
              </w:rPr>
              <w:t xml:space="preserve"> </w:t>
            </w:r>
            <w:r>
              <w:rPr>
                <w:rFonts w:ascii="仿宋_GB2312" w:cs="仿宋_GB2312" w:eastAsia="仿宋_GB2312" w:hint="eastAsia"/>
                <w:color w:val="auto"/>
              </w:rPr>
              <w:t>龄</w:t>
            </w:r>
          </w:p>
        </w:tc>
        <w:tc>
          <w:tcPr>
            <w:tcW w:w="1164" w:type="dxa"/>
            <w:gridSpan w:val="2"/>
            <w:tcBorders/>
            <w:vAlign w:val="center"/>
          </w:tcPr>
          <w:p w14:paraId="06D3A4B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兼</w:t>
            </w:r>
            <w:r>
              <w:rPr>
                <w:rFonts w:ascii="仿宋_GB2312" w:cs="仿宋_GB2312" w:eastAsia="仿宋_GB2312"/>
                <w:color w:val="auto"/>
              </w:rPr>
              <w:t xml:space="preserve"> </w:t>
            </w:r>
            <w:r>
              <w:rPr>
                <w:rFonts w:ascii="仿宋_GB2312" w:cs="仿宋_GB2312" w:eastAsia="仿宋_GB2312" w:hint="eastAsia"/>
                <w:color w:val="auto"/>
              </w:rPr>
              <w:t>职</w:t>
            </w:r>
          </w:p>
        </w:tc>
      </w:tr>
      <w:tr w14:paraId="75A9BC6D">
        <w:tblPrEx/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tcBorders/>
            <w:vAlign w:val="center"/>
          </w:tcPr>
          <w:p w14:paraId="5A8EE388">
            <w:pPr>
              <w:pStyle w:val="style0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组长</w:t>
            </w:r>
          </w:p>
        </w:tc>
        <w:tc>
          <w:tcPr>
            <w:tcW w:w="1265" w:type="dxa"/>
            <w:gridSpan w:val="2"/>
            <w:tcBorders/>
            <w:vAlign w:val="center"/>
          </w:tcPr>
          <w:p w14:paraId="06995723">
            <w:pPr>
              <w:pStyle w:val="style0"/>
              <w:jc w:val="center"/>
              <w:rPr>
                <w:rFonts w:ascii="仿宋_GB2312" w:eastAsia="仿宋_GB2312" w:hint="eastAsia"/>
                <w:color w:val="auto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lang w:val="en-US" w:eastAsia="zh-CN"/>
              </w:rPr>
              <w:t>陈梦瑶</w:t>
            </w:r>
          </w:p>
        </w:tc>
        <w:tc>
          <w:tcPr>
            <w:tcW w:w="1194" w:type="dxa"/>
            <w:tcBorders/>
            <w:vAlign w:val="center"/>
          </w:tcPr>
          <w:p w14:paraId="7AA189F6">
            <w:pPr>
              <w:pStyle w:val="style0"/>
              <w:jc w:val="center"/>
              <w:rPr>
                <w:rFonts w:ascii="仿宋_GB2312" w:eastAsia="仿宋_GB2312" w:hint="eastAsia"/>
                <w:color w:val="auto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lang w:val="en-US" w:eastAsia="zh-CN"/>
              </w:rPr>
              <w:t>本科</w:t>
            </w:r>
          </w:p>
        </w:tc>
        <w:tc>
          <w:tcPr>
            <w:tcW w:w="1181" w:type="dxa"/>
            <w:gridSpan w:val="2"/>
            <w:tcBorders/>
            <w:vAlign w:val="center"/>
          </w:tcPr>
          <w:p w14:paraId="1329B970">
            <w:pPr>
              <w:pStyle w:val="style0"/>
              <w:jc w:val="center"/>
              <w:rPr>
                <w:rFonts w:ascii="仿宋_GB2312" w:eastAsia="仿宋_GB2312" w:hint="eastAsia"/>
                <w:color w:val="auto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lang w:val="en-US" w:eastAsia="zh-CN"/>
              </w:rPr>
              <w:t>无</w:t>
            </w:r>
          </w:p>
        </w:tc>
        <w:tc>
          <w:tcPr>
            <w:tcW w:w="934" w:type="dxa"/>
            <w:gridSpan w:val="2"/>
            <w:tcBorders/>
            <w:vAlign w:val="center"/>
          </w:tcPr>
          <w:p w14:paraId="3DC29F9B">
            <w:pPr>
              <w:pStyle w:val="style0"/>
              <w:jc w:val="center"/>
              <w:rPr>
                <w:rFonts w:ascii="仿宋_GB2312" w:eastAsia="仿宋_GB2312" w:hint="eastAsia"/>
                <w:color w:val="auto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lang w:val="en-US" w:eastAsia="zh-CN"/>
              </w:rPr>
              <w:t>女</w:t>
            </w:r>
          </w:p>
        </w:tc>
        <w:tc>
          <w:tcPr>
            <w:tcW w:w="968" w:type="dxa"/>
            <w:tcBorders/>
            <w:vAlign w:val="center"/>
          </w:tcPr>
          <w:p w14:paraId="0F1C7A79">
            <w:pPr>
              <w:pStyle w:val="style0"/>
              <w:jc w:val="center"/>
              <w:rPr>
                <w:rFonts w:ascii="仿宋_GB2312" w:eastAsia="仿宋_GB2312" w:hint="default"/>
                <w:color w:val="auto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lang w:val="en-US" w:eastAsia="zh-CN"/>
              </w:rPr>
              <w:t>29</w:t>
            </w:r>
          </w:p>
        </w:tc>
        <w:tc>
          <w:tcPr>
            <w:tcW w:w="1164" w:type="dxa"/>
            <w:gridSpan w:val="2"/>
            <w:tcBorders/>
            <w:vAlign w:val="center"/>
          </w:tcPr>
          <w:p w14:paraId="37771564">
            <w:pPr>
              <w:pStyle w:val="style0"/>
              <w:jc w:val="center"/>
              <w:rPr>
                <w:rFonts w:ascii="仿宋_GB2312" w:eastAsia="仿宋_GB2312" w:hint="eastAsia"/>
                <w:color w:val="auto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lang w:val="en-US" w:eastAsia="zh-CN"/>
              </w:rPr>
              <w:t>无</w:t>
            </w:r>
          </w:p>
        </w:tc>
      </w:tr>
      <w:tr w14:paraId="0FCA0938">
        <w:tblPrEx/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Merge w:val="restart"/>
            <w:tcBorders/>
            <w:vAlign w:val="center"/>
          </w:tcPr>
          <w:p w14:paraId="13C67FB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师资情况</w:t>
            </w:r>
          </w:p>
          <w:p w14:paraId="65ACD6E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（人数）</w:t>
            </w:r>
          </w:p>
        </w:tc>
        <w:tc>
          <w:tcPr>
            <w:tcW w:w="1265" w:type="dxa"/>
            <w:gridSpan w:val="2"/>
            <w:tcBorders/>
            <w:vAlign w:val="center"/>
          </w:tcPr>
          <w:p w14:paraId="401ABA0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正高</w:t>
            </w:r>
          </w:p>
        </w:tc>
        <w:tc>
          <w:tcPr>
            <w:tcW w:w="1194" w:type="dxa"/>
            <w:tcBorders/>
            <w:vAlign w:val="center"/>
          </w:tcPr>
          <w:p w14:paraId="72DC2962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高级</w:t>
            </w:r>
          </w:p>
        </w:tc>
        <w:tc>
          <w:tcPr>
            <w:tcW w:w="1181" w:type="dxa"/>
            <w:gridSpan w:val="2"/>
            <w:tcBorders/>
            <w:vAlign w:val="center"/>
          </w:tcPr>
          <w:p w14:paraId="0A10D1A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一级</w:t>
            </w:r>
          </w:p>
        </w:tc>
        <w:tc>
          <w:tcPr>
            <w:tcW w:w="934" w:type="dxa"/>
            <w:gridSpan w:val="2"/>
            <w:tcBorders/>
            <w:vAlign w:val="center"/>
          </w:tcPr>
          <w:p w14:paraId="2678819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二级</w:t>
            </w:r>
          </w:p>
        </w:tc>
        <w:tc>
          <w:tcPr>
            <w:tcW w:w="2132" w:type="dxa"/>
            <w:gridSpan w:val="3"/>
            <w:tcBorders/>
            <w:vAlign w:val="center"/>
          </w:tcPr>
          <w:p w14:paraId="20B26C5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见习</w:t>
            </w:r>
          </w:p>
        </w:tc>
      </w:tr>
      <w:tr w14:paraId="33FDCC69">
        <w:tblPrEx/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Merge w:val="continue"/>
            <w:tcBorders/>
            <w:vAlign w:val="center"/>
          </w:tcPr>
          <w:p w14:paraId="35066D6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5" w:type="dxa"/>
            <w:gridSpan w:val="2"/>
            <w:tcBorders/>
            <w:vAlign w:val="center"/>
          </w:tcPr>
          <w:p w14:paraId="78CF68B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94" w:type="dxa"/>
            <w:tcBorders/>
            <w:vAlign w:val="center"/>
          </w:tcPr>
          <w:p w14:paraId="1B2A5DB6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81" w:type="dxa"/>
            <w:gridSpan w:val="2"/>
            <w:tcBorders/>
            <w:vAlign w:val="center"/>
          </w:tcPr>
          <w:p w14:paraId="24FE7C0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5</w:t>
            </w:r>
          </w:p>
        </w:tc>
        <w:tc>
          <w:tcPr>
            <w:tcW w:w="934" w:type="dxa"/>
            <w:gridSpan w:val="2"/>
            <w:tcBorders/>
            <w:vAlign w:val="center"/>
          </w:tcPr>
          <w:p w14:paraId="6B82AA9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1</w:t>
            </w:r>
          </w:p>
        </w:tc>
        <w:tc>
          <w:tcPr>
            <w:tcW w:w="2132" w:type="dxa"/>
            <w:gridSpan w:val="3"/>
            <w:tcBorders/>
            <w:vAlign w:val="center"/>
          </w:tcPr>
          <w:p w14:paraId="7C30629C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E0DF2B2">
        <w:tblPrEx/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Merge w:val="continue"/>
            <w:tcBorders/>
            <w:vAlign w:val="center"/>
          </w:tcPr>
          <w:p w14:paraId="05C9D6E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5" w:type="dxa"/>
            <w:gridSpan w:val="2"/>
            <w:tcBorders/>
            <w:vAlign w:val="center"/>
          </w:tcPr>
          <w:p w14:paraId="17F7664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特级</w:t>
            </w:r>
          </w:p>
        </w:tc>
        <w:tc>
          <w:tcPr>
            <w:tcW w:w="1194" w:type="dxa"/>
            <w:tcBorders/>
            <w:vAlign w:val="center"/>
          </w:tcPr>
          <w:p w14:paraId="132728E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特后</w:t>
            </w:r>
          </w:p>
        </w:tc>
        <w:tc>
          <w:tcPr>
            <w:tcW w:w="1181" w:type="dxa"/>
            <w:gridSpan w:val="2"/>
            <w:tcBorders/>
            <w:vAlign w:val="center"/>
          </w:tcPr>
          <w:p w14:paraId="6E7D0D2F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学带</w:t>
            </w:r>
          </w:p>
        </w:tc>
        <w:tc>
          <w:tcPr>
            <w:tcW w:w="934" w:type="dxa"/>
            <w:gridSpan w:val="2"/>
            <w:tcBorders/>
            <w:vAlign w:val="center"/>
          </w:tcPr>
          <w:p w14:paraId="3AE3BE6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骨干</w:t>
            </w:r>
          </w:p>
        </w:tc>
        <w:tc>
          <w:tcPr>
            <w:tcW w:w="968" w:type="dxa"/>
            <w:tcBorders/>
            <w:vAlign w:val="center"/>
          </w:tcPr>
          <w:p w14:paraId="54E3A6D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能手</w:t>
            </w:r>
          </w:p>
        </w:tc>
        <w:tc>
          <w:tcPr>
            <w:tcW w:w="1164" w:type="dxa"/>
            <w:gridSpan w:val="2"/>
            <w:tcBorders/>
            <w:vAlign w:val="center"/>
          </w:tcPr>
          <w:p w14:paraId="6D32D29C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新秀</w:t>
            </w:r>
          </w:p>
        </w:tc>
      </w:tr>
      <w:tr w14:paraId="3CF7B354">
        <w:tblPrEx/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vMerge w:val="continue"/>
            <w:tcBorders/>
            <w:vAlign w:val="center"/>
          </w:tcPr>
          <w:p w14:paraId="3FB30DEE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65" w:type="dxa"/>
            <w:gridSpan w:val="2"/>
            <w:tcBorders/>
            <w:vAlign w:val="center"/>
          </w:tcPr>
          <w:p w14:paraId="0A20117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94" w:type="dxa"/>
            <w:tcBorders/>
            <w:vAlign w:val="center"/>
          </w:tcPr>
          <w:p w14:paraId="3C13C03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81" w:type="dxa"/>
            <w:gridSpan w:val="2"/>
            <w:tcBorders/>
            <w:vAlign w:val="center"/>
          </w:tcPr>
          <w:p w14:paraId="482252F9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934" w:type="dxa"/>
            <w:gridSpan w:val="2"/>
            <w:tcBorders/>
            <w:vAlign w:val="center"/>
          </w:tcPr>
          <w:p w14:paraId="75F0505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1</w:t>
            </w:r>
          </w:p>
        </w:tc>
        <w:tc>
          <w:tcPr>
            <w:tcW w:w="968" w:type="dxa"/>
            <w:tcBorders/>
            <w:vAlign w:val="center"/>
          </w:tcPr>
          <w:p w14:paraId="465DC94E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164" w:type="dxa"/>
            <w:gridSpan w:val="2"/>
            <w:tcBorders/>
            <w:vAlign w:val="center"/>
          </w:tcPr>
          <w:p w14:paraId="7158D6F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7D79BCD">
        <w:tblPrEx/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tcBorders/>
            <w:vAlign w:val="center"/>
          </w:tcPr>
          <w:p w14:paraId="49A226C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项</w:t>
            </w:r>
            <w:r>
              <w:rPr>
                <w:rFonts w:ascii="仿宋_GB2312" w:cs="仿宋_GB2312" w:eastAsia="仿宋_GB2312"/>
                <w:color w:val="auto"/>
              </w:rPr>
              <w:t xml:space="preserve">   </w:t>
            </w:r>
            <w:r>
              <w:rPr>
                <w:rFonts w:ascii="仿宋_GB2312" w:cs="仿宋_GB2312" w:eastAsia="仿宋_GB2312" w:hint="eastAsia"/>
                <w:color w:val="auto"/>
              </w:rPr>
              <w:t>目</w:t>
            </w:r>
          </w:p>
        </w:tc>
        <w:tc>
          <w:tcPr>
            <w:tcW w:w="6706" w:type="dxa"/>
            <w:gridSpan w:val="10"/>
            <w:tcBorders/>
            <w:vAlign w:val="center"/>
          </w:tcPr>
          <w:p w14:paraId="10C1398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概</w:t>
            </w:r>
            <w:r>
              <w:rPr>
                <w:rFonts w:ascii="仿宋_GB2312" w:cs="仿宋_GB2312" w:eastAsia="仿宋_GB2312"/>
                <w:color w:val="auto"/>
              </w:rPr>
              <w:t xml:space="preserve">      </w:t>
            </w:r>
            <w:r>
              <w:rPr>
                <w:rFonts w:ascii="仿宋_GB2312" w:cs="仿宋_GB2312" w:eastAsia="仿宋_GB2312" w:hint="eastAsia"/>
                <w:color w:val="auto"/>
              </w:rPr>
              <w:t>况</w:t>
            </w:r>
          </w:p>
        </w:tc>
      </w:tr>
      <w:tr w14:paraId="1D242C2D">
        <w:tblPrEx/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tcBorders/>
            <w:vAlign w:val="center"/>
          </w:tcPr>
          <w:p w14:paraId="7CD4FF6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教研组建设过程中最值得推荐的经验</w:t>
            </w:r>
          </w:p>
        </w:tc>
        <w:tc>
          <w:tcPr>
            <w:tcW w:w="6706" w:type="dxa"/>
            <w:gridSpan w:val="10"/>
            <w:tcBorders/>
            <w:vAlign w:val="center"/>
          </w:tcPr>
          <w:p w14:paraId="0C37305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420" w:firstLineChars="200"/>
              <w:jc w:val="left"/>
              <w:textAlignment w:val="auto"/>
              <w:rPr>
                <w:rFonts w:ascii="仿宋_GB2312" w:eastAsia="仿宋_GB2312" w:hint="eastAsia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 xml:space="preserve">各学科教师结合第一学期的教学反馈，优化了教学计划，注重因材施教，强化分层教学。教案设计更加注重实践性和创新性，如科学学科增加了探究性实验，信息学科引入ai学习，劳动学科强化了生活技能训练。  </w:t>
            </w:r>
          </w:p>
          <w:p w14:paraId="2FD82AE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420" w:firstLineChars="200"/>
              <w:jc w:val="left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>课堂教学继续采用多样化手段，如情境模拟、案例分析、小组合作等，学生参与度进一步提高。兼职教师的支持体系更加完善，通过“一对一”帮扶和集体备课，道德法治学科的教学质量稳步提升。</w:t>
            </w:r>
          </w:p>
        </w:tc>
      </w:tr>
      <w:tr w14:paraId="3CF122EA">
        <w:tblPrEx/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tcBorders/>
            <w:vAlign w:val="center"/>
          </w:tcPr>
          <w:p w14:paraId="6376478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师德</w:t>
            </w:r>
          </w:p>
          <w:p w14:paraId="713F584F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建设</w:t>
            </w:r>
          </w:p>
        </w:tc>
        <w:tc>
          <w:tcPr>
            <w:tcW w:w="6706" w:type="dxa"/>
            <w:gridSpan w:val="10"/>
            <w:tcBorders/>
            <w:vAlign w:val="center"/>
          </w:tcPr>
          <w:p w14:paraId="463608C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420" w:firstLineChars="200"/>
              <w:jc w:val="left"/>
              <w:textAlignment w:val="auto"/>
              <w:rPr>
                <w:rFonts w:ascii="仿宋_GB2312" w:eastAsia="仿宋_GB2312" w:hint="eastAsia"/>
                <w:color w:val="auto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</w:rPr>
              <w:t>‌开展"师德微论坛"，结合《中小学教师职业行为十项准则》进行案例研讨</w:t>
            </w:r>
            <w:r>
              <w:rPr>
                <w:rFonts w:ascii="仿宋_GB2312" w:eastAsia="仿宋_GB2312" w:hint="eastAsia"/>
                <w:color w:val="auto"/>
                <w:lang w:eastAsia="zh-CN"/>
              </w:rPr>
              <w:t>。</w:t>
            </w:r>
          </w:p>
          <w:p w14:paraId="7BA7975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ind w:firstLine="420" w:firstLineChars="200"/>
              <w:jc w:val="left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>推行师德"三色预警"：蓝色提醒（谈话）、黄色整改（限期改正）、红色帮扶（结对指导）</w:t>
            </w:r>
            <w:r>
              <w:rPr>
                <w:rFonts w:ascii="仿宋_GB2312" w:eastAsia="仿宋_GB2312" w:hint="eastAsia"/>
                <w:color w:val="auto"/>
                <w:lang w:eastAsia="zh-CN"/>
              </w:rPr>
              <w:t>。</w:t>
            </w:r>
          </w:p>
        </w:tc>
      </w:tr>
      <w:tr w14:paraId="5417BCAC">
        <w:tblPrEx/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tcBorders/>
            <w:vAlign w:val="center"/>
          </w:tcPr>
          <w:p w14:paraId="5B9709B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常规</w:t>
            </w:r>
          </w:p>
          <w:p w14:paraId="5894252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管理</w:t>
            </w:r>
          </w:p>
        </w:tc>
        <w:tc>
          <w:tcPr>
            <w:tcW w:w="6706" w:type="dxa"/>
            <w:gridSpan w:val="10"/>
            <w:tcBorders/>
            <w:vAlign w:val="center"/>
          </w:tcPr>
          <w:p w14:paraId="7CD204D9">
            <w:pPr>
              <w:pStyle w:val="style0"/>
              <w:jc w:val="left"/>
              <w:rPr>
                <w:rFonts w:ascii="仿宋_GB2312" w:eastAsia="仿宋_GB2312" w:hint="eastAsia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>‌实施"五精管理"：精准计划→精细备课→精品课堂→精炼作业→精准反馈，配套开发各学科备课模板库</w:t>
            </w:r>
          </w:p>
          <w:p w14:paraId="641B6F9E">
            <w:pPr>
              <w:pStyle w:val="style0"/>
              <w:jc w:val="left"/>
              <w:rPr>
                <w:rFonts w:ascii="仿宋_GB2312" w:eastAsia="仿宋_GB2312" w:hint="eastAsia"/>
                <w:color w:val="auto"/>
                <w:lang w:eastAsia="zh-CN"/>
              </w:rPr>
            </w:pPr>
            <w:r>
              <w:rPr>
                <w:rFonts w:ascii="仿宋_GB2312" w:eastAsia="仿宋_GB2312" w:hint="eastAsia"/>
                <w:color w:val="auto"/>
              </w:rPr>
              <w:t>实行"周清月结"制度：每周教研组自查、每月教导处专项检查，问题整改率达100%</w:t>
            </w:r>
            <w:r>
              <w:rPr>
                <w:rFonts w:ascii="仿宋_GB2312" w:eastAsia="仿宋_GB2312" w:hint="eastAsia"/>
                <w:color w:val="auto"/>
                <w:lang w:eastAsia="zh-CN"/>
              </w:rPr>
              <w:t>。</w:t>
            </w:r>
          </w:p>
        </w:tc>
      </w:tr>
      <w:tr w14:paraId="6C3B3C10">
        <w:tblPrEx/>
        <w:trPr>
          <w:gridBefore w:val="1"/>
          <w:gridAfter w:val="1"/>
          <w:wBefore w:w="113" w:type="dxa"/>
          <w:wAfter w:w="113" w:type="dxa"/>
          <w:trHeight w:val="482" w:hRule="atLeast"/>
          <w:jc w:val="center"/>
        </w:trPr>
        <w:tc>
          <w:tcPr>
            <w:tcW w:w="1662" w:type="dxa"/>
            <w:gridSpan w:val="2"/>
            <w:tcBorders/>
            <w:vAlign w:val="center"/>
          </w:tcPr>
          <w:p w14:paraId="1C002E6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承担校际间（含工作室）、辖市</w:t>
            </w:r>
            <w:r>
              <w:rPr>
                <w:rFonts w:ascii="仿宋_GB2312" w:cs="仿宋_GB2312" w:eastAsia="仿宋_GB2312"/>
                <w:color w:val="auto"/>
              </w:rPr>
              <w:t>/</w:t>
            </w:r>
            <w:r>
              <w:rPr>
                <w:rFonts w:ascii="仿宋_GB2312" w:cs="仿宋_GB2312" w:eastAsia="仿宋_GB2312" w:hint="eastAsia"/>
                <w:color w:val="auto"/>
              </w:rPr>
              <w:t>区及以上教研活动情况</w:t>
            </w:r>
          </w:p>
        </w:tc>
        <w:tc>
          <w:tcPr>
            <w:tcW w:w="6706" w:type="dxa"/>
            <w:gridSpan w:val="10"/>
            <w:tcBorders/>
            <w:vAlign w:val="center"/>
          </w:tcPr>
          <w:p w14:paraId="190532F1">
            <w:pPr>
              <w:pStyle w:val="style0"/>
              <w:jc w:val="both"/>
              <w:rPr>
                <w:rFonts w:ascii="仿宋_GB2312" w:eastAsia="仿宋_GB2312"/>
                <w:color w:val="auto"/>
              </w:rPr>
            </w:pPr>
          </w:p>
          <w:p w14:paraId="6CE78F44">
            <w:pPr>
              <w:pStyle w:val="style0"/>
              <w:jc w:val="both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无</w:t>
            </w:r>
          </w:p>
          <w:p w14:paraId="1601523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  <w:p w14:paraId="0C637BF2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9A39CD6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restart"/>
            <w:tcBorders/>
            <w:vAlign w:val="center"/>
          </w:tcPr>
          <w:p w14:paraId="5B136EC7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公开课及讲座</w:t>
            </w:r>
          </w:p>
        </w:tc>
        <w:tc>
          <w:tcPr>
            <w:tcW w:w="2694" w:type="dxa"/>
            <w:gridSpan w:val="5"/>
            <w:tcBorders/>
            <w:vAlign w:val="center"/>
          </w:tcPr>
          <w:p w14:paraId="067A2829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课题名称</w:t>
            </w:r>
          </w:p>
        </w:tc>
        <w:tc>
          <w:tcPr>
            <w:tcW w:w="1557" w:type="dxa"/>
            <w:gridSpan w:val="2"/>
            <w:tcBorders/>
            <w:vAlign w:val="center"/>
          </w:tcPr>
          <w:p w14:paraId="19F3936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参与者姓名</w:t>
            </w:r>
          </w:p>
        </w:tc>
        <w:tc>
          <w:tcPr>
            <w:tcW w:w="1361" w:type="dxa"/>
            <w:gridSpan w:val="2"/>
            <w:tcBorders/>
            <w:vAlign w:val="center"/>
          </w:tcPr>
          <w:p w14:paraId="4296D86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开课</w:t>
            </w:r>
            <w:r>
              <w:rPr>
                <w:rFonts w:ascii="仿宋_GB2312" w:cs="仿宋_GB2312" w:eastAsia="仿宋_GB2312"/>
                <w:color w:val="auto"/>
              </w:rPr>
              <w:t>/</w:t>
            </w:r>
            <w:r>
              <w:rPr>
                <w:rFonts w:ascii="仿宋_GB2312" w:cs="仿宋_GB2312" w:eastAsia="仿宋_GB2312" w:hint="eastAsia"/>
                <w:color w:val="auto"/>
              </w:rPr>
              <w:t>讲座范围</w:t>
            </w:r>
          </w:p>
        </w:tc>
        <w:tc>
          <w:tcPr>
            <w:tcW w:w="1298" w:type="dxa"/>
            <w:gridSpan w:val="3"/>
            <w:tcBorders/>
            <w:vAlign w:val="center"/>
          </w:tcPr>
          <w:p w14:paraId="7892B7C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组织单位及日期</w:t>
            </w:r>
          </w:p>
        </w:tc>
      </w:tr>
      <w:tr w14:paraId="6BB192C5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1958244D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6520D930">
            <w:pPr>
              <w:pStyle w:val="style0"/>
              <w:jc w:val="left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“青”舟无惧万重山——新教师讲座分享</w:t>
            </w:r>
          </w:p>
        </w:tc>
        <w:tc>
          <w:tcPr>
            <w:tcW w:w="1557" w:type="dxa"/>
            <w:gridSpan w:val="2"/>
            <w:tcBorders/>
            <w:vAlign w:val="center"/>
          </w:tcPr>
          <w:p w14:paraId="13C093AB">
            <w:pPr>
              <w:pStyle w:val="style0"/>
              <w:jc w:val="left"/>
              <w:rPr>
                <w:rFonts w:ascii="仿宋_GB2312" w:eastAsia="仿宋_GB2312" w:hint="eastAsia"/>
                <w:color w:val="auto"/>
                <w:lang w:val="en-US" w:eastAsia="zh-CN"/>
              </w:rPr>
            </w:pPr>
            <w:r>
              <w:rPr>
                <w:rFonts w:ascii="仿宋_GB2312" w:eastAsia="仿宋_GB2312" w:hint="default"/>
                <w:color w:val="auto"/>
                <w:lang w:val="en-US" w:eastAsia="zh-CN"/>
              </w:rPr>
              <w:t>刘依依</w:t>
            </w:r>
          </w:p>
        </w:tc>
        <w:tc>
          <w:tcPr>
            <w:tcW w:w="1361" w:type="dxa"/>
            <w:gridSpan w:val="2"/>
            <w:tcBorders/>
            <w:vAlign w:val="center"/>
          </w:tcPr>
          <w:p w14:paraId="39F976B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区教师发展中心</w:t>
            </w:r>
          </w:p>
        </w:tc>
        <w:tc>
          <w:tcPr>
            <w:tcW w:w="1298" w:type="dxa"/>
            <w:gridSpan w:val="3"/>
            <w:tcBorders/>
            <w:vAlign w:val="center"/>
          </w:tcPr>
          <w:p w14:paraId="6E2C0816">
            <w:pPr>
              <w:pStyle w:val="style0"/>
              <w:jc w:val="center"/>
              <w:rPr>
                <w:rFonts w:ascii="仿宋_GB2312" w:eastAsia="仿宋_GB2312" w:hint="default"/>
                <w:color w:val="auto"/>
                <w:lang w:val="en-US" w:eastAsia="zh-CN"/>
              </w:rPr>
            </w:pPr>
            <w:r>
              <w:rPr>
                <w:rFonts w:ascii="仿宋_GB2312" w:eastAsia="仿宋_GB2312" w:hint="default"/>
                <w:color w:val="auto"/>
                <w:lang w:val="en-US" w:eastAsia="zh-CN"/>
              </w:rPr>
              <w:t>2024.8.15</w:t>
            </w:r>
          </w:p>
        </w:tc>
      </w:tr>
      <w:tr w14:paraId="3CA8853A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1B64DF17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24C54D80">
            <w:pPr>
              <w:pStyle w:val="style0"/>
              <w:jc w:val="left"/>
              <w:rPr>
                <w:rFonts w:ascii="仿宋_GB2312" w:eastAsia="仿宋_GB2312" w:hint="eastAsia"/>
                <w:color w:val="auto"/>
                <w:lang w:val="en-US" w:eastAsia="zh-CN"/>
              </w:rPr>
            </w:pPr>
            <w:r>
              <w:rPr>
                <w:rFonts w:ascii="仿宋_GB2312" w:eastAsia="仿宋_GB2312" w:hint="default"/>
                <w:color w:val="auto"/>
                <w:lang w:val="en-US" w:eastAsia="zh-CN"/>
              </w:rPr>
              <w:t>花朵缤纷</w:t>
            </w:r>
          </w:p>
        </w:tc>
        <w:tc>
          <w:tcPr>
            <w:tcW w:w="1557" w:type="dxa"/>
            <w:gridSpan w:val="2"/>
            <w:tcBorders/>
            <w:vAlign w:val="center"/>
          </w:tcPr>
          <w:p w14:paraId="0FCF5AE5">
            <w:pPr>
              <w:pStyle w:val="style0"/>
              <w:jc w:val="center"/>
              <w:rPr>
                <w:rFonts w:ascii="仿宋_GB2312" w:eastAsia="仿宋_GB2312" w:hint="eastAsia"/>
                <w:color w:val="auto"/>
                <w:lang w:val="en-US" w:eastAsia="zh-CN"/>
              </w:rPr>
            </w:pPr>
            <w:r>
              <w:rPr>
                <w:rFonts w:ascii="仿宋_GB2312" w:eastAsia="仿宋_GB2312" w:hint="default"/>
                <w:color w:val="auto"/>
                <w:lang w:val="en-US" w:eastAsia="zh-CN"/>
              </w:rPr>
              <w:t>陈梦瑶</w:t>
            </w:r>
          </w:p>
        </w:tc>
        <w:tc>
          <w:tcPr>
            <w:tcW w:w="1361" w:type="dxa"/>
            <w:gridSpan w:val="2"/>
            <w:tcBorders/>
            <w:vAlign w:val="center"/>
          </w:tcPr>
          <w:p w14:paraId="676912A6">
            <w:pPr>
              <w:pStyle w:val="style0"/>
              <w:jc w:val="center"/>
              <w:rPr>
                <w:rFonts w:ascii="仿宋_GB2312" w:eastAsia="仿宋_GB2312" w:hint="eastAsia"/>
                <w:color w:val="auto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lang w:val="en-US" w:eastAsia="zh-CN"/>
              </w:rPr>
              <w:t>综合组</w:t>
            </w:r>
          </w:p>
        </w:tc>
        <w:tc>
          <w:tcPr>
            <w:tcW w:w="1298" w:type="dxa"/>
            <w:gridSpan w:val="3"/>
            <w:tcBorders/>
            <w:vAlign w:val="center"/>
          </w:tcPr>
          <w:p w14:paraId="2449366D">
            <w:pPr>
              <w:pStyle w:val="style0"/>
              <w:jc w:val="center"/>
              <w:rPr>
                <w:rFonts w:ascii="仿宋_GB2312" w:eastAsia="仿宋_GB2312" w:hint="default"/>
                <w:color w:val="auto"/>
                <w:lang w:val="en-US" w:eastAsia="zh-CN"/>
              </w:rPr>
            </w:pPr>
            <w:r>
              <w:rPr>
                <w:rFonts w:ascii="仿宋_GB2312" w:eastAsia="仿宋_GB2312" w:hint="default"/>
                <w:color w:val="auto"/>
                <w:lang w:val="en-US" w:eastAsia="zh-CN"/>
              </w:rPr>
              <w:t>2024.11.1</w:t>
            </w:r>
          </w:p>
        </w:tc>
      </w:tr>
      <w:tr w14:paraId="1D5CFB9D">
        <w:tblPrEx/>
        <w:trPr>
          <w:trHeight w:val="460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214E8717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6784622E">
            <w:pPr>
              <w:pStyle w:val="style0"/>
              <w:jc w:val="left"/>
              <w:rPr>
                <w:rFonts w:ascii="仿宋_GB2312" w:eastAsia="仿宋_GB2312" w:hint="default"/>
                <w:color w:val="auto"/>
                <w:lang w:val="en-US" w:eastAsia="zh-CN"/>
              </w:rPr>
            </w:pPr>
            <w:r>
              <w:rPr>
                <w:rFonts w:ascii="仿宋_GB2312" w:eastAsia="仿宋_GB2312" w:hint="default"/>
                <w:color w:val="auto"/>
                <w:lang w:val="en-US" w:eastAsia="zh-CN"/>
              </w:rPr>
              <w:t>食物的旅行</w:t>
            </w:r>
          </w:p>
        </w:tc>
        <w:tc>
          <w:tcPr>
            <w:tcW w:w="1557" w:type="dxa"/>
            <w:gridSpan w:val="2"/>
            <w:tcBorders/>
            <w:vAlign w:val="center"/>
          </w:tcPr>
          <w:p w14:paraId="5F27B973">
            <w:pPr>
              <w:pStyle w:val="style0"/>
              <w:jc w:val="center"/>
              <w:rPr>
                <w:rFonts w:ascii="仿宋_GB2312" w:eastAsia="仿宋_GB2312" w:hint="eastAsia"/>
                <w:color w:val="auto"/>
                <w:lang w:val="en-US" w:eastAsia="zh-CN"/>
              </w:rPr>
            </w:pPr>
            <w:r>
              <w:rPr>
                <w:rFonts w:ascii="仿宋_GB2312" w:eastAsia="仿宋_GB2312" w:hint="default"/>
                <w:color w:val="auto"/>
                <w:lang w:val="en-US" w:eastAsia="zh-CN"/>
              </w:rPr>
              <w:t>张平</w:t>
            </w:r>
          </w:p>
        </w:tc>
        <w:tc>
          <w:tcPr>
            <w:tcW w:w="1361" w:type="dxa"/>
            <w:gridSpan w:val="2"/>
            <w:tcBorders/>
            <w:vAlign w:val="center"/>
          </w:tcPr>
          <w:p w14:paraId="2A54B0B7">
            <w:pPr>
              <w:pStyle w:val="style0"/>
              <w:jc w:val="left"/>
              <w:rPr>
                <w:rFonts w:ascii="仿宋_GB2312" w:eastAsia="仿宋_GB2312" w:hint="eastAsia"/>
                <w:color w:val="auto"/>
                <w:lang w:val="en-US" w:eastAsia="zh-CN"/>
              </w:rPr>
            </w:pPr>
            <w:r>
              <w:rPr>
                <w:rFonts w:ascii="仿宋_GB2312" w:eastAsia="仿宋_GB2312" w:hint="default"/>
                <w:color w:val="auto"/>
                <w:lang w:val="en-US" w:eastAsia="zh-CN"/>
              </w:rPr>
              <w:t>综合组</w:t>
            </w:r>
          </w:p>
        </w:tc>
        <w:tc>
          <w:tcPr>
            <w:tcW w:w="1298" w:type="dxa"/>
            <w:gridSpan w:val="3"/>
            <w:tcBorders/>
            <w:vAlign w:val="center"/>
          </w:tcPr>
          <w:p w14:paraId="01438216">
            <w:pPr>
              <w:pStyle w:val="style0"/>
              <w:jc w:val="center"/>
              <w:rPr>
                <w:rFonts w:ascii="仿宋_GB2312" w:eastAsia="仿宋_GB2312" w:hint="default"/>
                <w:color w:val="auto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lang w:val="en-US" w:eastAsia="zh-CN"/>
              </w:rPr>
              <w:t>2024.</w:t>
            </w:r>
            <w:bookmarkStart w:id="0" w:name="_GoBack"/>
            <w:bookmarkEnd w:id="0"/>
            <w:r>
              <w:rPr>
                <w:rFonts w:ascii="仿宋_GB2312" w:eastAsia="仿宋_GB2312" w:hint="default"/>
                <w:color w:val="auto"/>
                <w:lang w:val="en-US" w:eastAsia="zh-CN"/>
              </w:rPr>
              <w:t>12.20</w:t>
            </w:r>
          </w:p>
        </w:tc>
      </w:tr>
      <w:tr w14:paraId="705F5CA2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2384A886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7216D919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科学启智·信息赋能：跨学科融合教研之旅</w:t>
            </w:r>
          </w:p>
        </w:tc>
        <w:tc>
          <w:tcPr>
            <w:tcW w:w="1557" w:type="dxa"/>
            <w:gridSpan w:val="2"/>
            <w:tcBorders/>
            <w:vAlign w:val="center"/>
          </w:tcPr>
          <w:p w14:paraId="51F3233E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金枝、赵国伟</w:t>
            </w:r>
          </w:p>
        </w:tc>
        <w:tc>
          <w:tcPr>
            <w:tcW w:w="1361" w:type="dxa"/>
            <w:gridSpan w:val="2"/>
            <w:tcBorders/>
            <w:vAlign w:val="center"/>
          </w:tcPr>
          <w:p w14:paraId="6FCD480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综合组</w:t>
            </w:r>
          </w:p>
        </w:tc>
        <w:tc>
          <w:tcPr>
            <w:tcW w:w="1298" w:type="dxa"/>
            <w:gridSpan w:val="3"/>
            <w:tcBorders/>
            <w:vAlign w:val="center"/>
          </w:tcPr>
          <w:p w14:paraId="0C6133A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2024.12.31</w:t>
            </w:r>
          </w:p>
        </w:tc>
      </w:tr>
      <w:tr w14:paraId="4BC2D5E0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6E40A23E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3E0DE6A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天气与气候</w:t>
            </w:r>
          </w:p>
        </w:tc>
        <w:tc>
          <w:tcPr>
            <w:tcW w:w="1557" w:type="dxa"/>
            <w:gridSpan w:val="2"/>
            <w:tcBorders/>
            <w:vAlign w:val="center"/>
          </w:tcPr>
          <w:p w14:paraId="2EFBC46B">
            <w:pPr>
              <w:pStyle w:val="style0"/>
              <w:jc w:val="left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张平</w:t>
            </w:r>
          </w:p>
        </w:tc>
        <w:tc>
          <w:tcPr>
            <w:tcW w:w="1361" w:type="dxa"/>
            <w:gridSpan w:val="2"/>
            <w:tcBorders/>
            <w:vAlign w:val="center"/>
          </w:tcPr>
          <w:p w14:paraId="2DCF4FDE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综合组</w:t>
            </w:r>
          </w:p>
        </w:tc>
        <w:tc>
          <w:tcPr>
            <w:tcW w:w="1298" w:type="dxa"/>
            <w:gridSpan w:val="3"/>
            <w:tcBorders/>
            <w:vAlign w:val="center"/>
          </w:tcPr>
          <w:p w14:paraId="733A856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2025.4.7</w:t>
            </w:r>
          </w:p>
        </w:tc>
      </w:tr>
      <w:tr w14:paraId="06F80968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79F47C68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35A75B6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天气与气候</w:t>
            </w:r>
          </w:p>
        </w:tc>
        <w:tc>
          <w:tcPr>
            <w:tcW w:w="1557" w:type="dxa"/>
            <w:gridSpan w:val="2"/>
            <w:tcBorders/>
            <w:vAlign w:val="center"/>
          </w:tcPr>
          <w:p w14:paraId="335B4F5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张平</w:t>
            </w:r>
          </w:p>
        </w:tc>
        <w:tc>
          <w:tcPr>
            <w:tcW w:w="1361" w:type="dxa"/>
            <w:gridSpan w:val="2"/>
            <w:tcBorders/>
            <w:vAlign w:val="center"/>
          </w:tcPr>
          <w:p w14:paraId="6F78543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综合组</w:t>
            </w:r>
          </w:p>
        </w:tc>
        <w:tc>
          <w:tcPr>
            <w:tcW w:w="1298" w:type="dxa"/>
            <w:gridSpan w:val="3"/>
            <w:tcBorders/>
            <w:vAlign w:val="center"/>
          </w:tcPr>
          <w:p w14:paraId="203D52A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2024.6.5</w:t>
            </w:r>
          </w:p>
        </w:tc>
      </w:tr>
      <w:tr w14:paraId="559C745C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2E0C8BF3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48F0DC92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5520A546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613D7EB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6BD0457E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3CE1A4C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3972F6A7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499AA16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0F199C0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07189CC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075618C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F6B3BC6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45D6A387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612DA6FC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45C951E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1C61695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3B515FAF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F47B564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61B57288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4FF4F899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259CB78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484EF26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1C05B02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FB60109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32EFB1EA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1AF0CC9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71DDAE5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7B16E8B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7B2CC37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7309C9F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1C1350D9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76BECF9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3408A13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3A2BE98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1A9620B6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0703189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6E38660F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1594BF3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4A65FF0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4E661D9F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33AF7726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EC72A30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restart"/>
            <w:tcBorders/>
            <w:vAlign w:val="center"/>
          </w:tcPr>
          <w:p w14:paraId="3C94F326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评优课、基本功及其它教学比赛</w:t>
            </w:r>
          </w:p>
        </w:tc>
        <w:tc>
          <w:tcPr>
            <w:tcW w:w="2694" w:type="dxa"/>
            <w:gridSpan w:val="5"/>
            <w:tcBorders/>
            <w:vAlign w:val="center"/>
          </w:tcPr>
          <w:p w14:paraId="466D06AE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比赛项目</w:t>
            </w:r>
          </w:p>
        </w:tc>
        <w:tc>
          <w:tcPr>
            <w:tcW w:w="1557" w:type="dxa"/>
            <w:gridSpan w:val="2"/>
            <w:tcBorders/>
            <w:vAlign w:val="center"/>
          </w:tcPr>
          <w:p w14:paraId="4BB4AF1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参与者姓名</w:t>
            </w:r>
          </w:p>
        </w:tc>
        <w:tc>
          <w:tcPr>
            <w:tcW w:w="1361" w:type="dxa"/>
            <w:gridSpan w:val="2"/>
            <w:tcBorders/>
            <w:vAlign w:val="center"/>
          </w:tcPr>
          <w:p w14:paraId="6E029A9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获奖等级</w:t>
            </w:r>
          </w:p>
        </w:tc>
        <w:tc>
          <w:tcPr>
            <w:tcW w:w="1298" w:type="dxa"/>
            <w:gridSpan w:val="3"/>
            <w:tcBorders/>
            <w:vAlign w:val="center"/>
          </w:tcPr>
          <w:p w14:paraId="4455DDF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发奖单位及日期</w:t>
            </w:r>
          </w:p>
        </w:tc>
      </w:tr>
      <w:tr w14:paraId="0A874474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775CFACB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153B422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1980BD0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316DE26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3487E68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1DFFF29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7E77F0A3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1791A51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5139F19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3EF7B259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22BB593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8E123E2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0B2AAC47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1D63087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06BB52B6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4F30DFD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1BD6D8B9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B381525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241422BF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3979466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03203C46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02DACF7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652675F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73AB612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65BCF865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33BCD22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441AF6FC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040BECC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770646C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81A4A91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6CD98446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546E696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29BD774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42D1D66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408F8F0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A26F4F4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restart"/>
            <w:tcBorders/>
            <w:vAlign w:val="center"/>
          </w:tcPr>
          <w:p w14:paraId="16C51BDE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学科竞赛、社团及研究性学习</w:t>
            </w:r>
          </w:p>
        </w:tc>
        <w:tc>
          <w:tcPr>
            <w:tcW w:w="2694" w:type="dxa"/>
            <w:gridSpan w:val="5"/>
            <w:tcBorders/>
            <w:vAlign w:val="center"/>
          </w:tcPr>
          <w:p w14:paraId="22C2E89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活动项目</w:t>
            </w:r>
          </w:p>
        </w:tc>
        <w:tc>
          <w:tcPr>
            <w:tcW w:w="1557" w:type="dxa"/>
            <w:gridSpan w:val="2"/>
            <w:tcBorders/>
            <w:vAlign w:val="center"/>
          </w:tcPr>
          <w:p w14:paraId="54A1B6B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参与者姓名</w:t>
            </w:r>
          </w:p>
        </w:tc>
        <w:tc>
          <w:tcPr>
            <w:tcW w:w="1361" w:type="dxa"/>
            <w:gridSpan w:val="2"/>
            <w:tcBorders/>
            <w:vAlign w:val="center"/>
          </w:tcPr>
          <w:p w14:paraId="25C41252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获奖等级</w:t>
            </w:r>
          </w:p>
        </w:tc>
        <w:tc>
          <w:tcPr>
            <w:tcW w:w="1298" w:type="dxa"/>
            <w:gridSpan w:val="3"/>
            <w:tcBorders/>
            <w:vAlign w:val="center"/>
          </w:tcPr>
          <w:p w14:paraId="519F4766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发奖单位及日期</w:t>
            </w:r>
          </w:p>
        </w:tc>
      </w:tr>
      <w:tr w14:paraId="6C11F1B5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2E59A739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665A18F2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常州市创新实验大赛</w:t>
            </w:r>
          </w:p>
        </w:tc>
        <w:tc>
          <w:tcPr>
            <w:tcW w:w="1557" w:type="dxa"/>
            <w:gridSpan w:val="2"/>
            <w:tcBorders/>
            <w:vAlign w:val="center"/>
          </w:tcPr>
          <w:p w14:paraId="5BCB3B8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谢钰馨、孙杜翔、陈传森</w:t>
            </w:r>
          </w:p>
        </w:tc>
        <w:tc>
          <w:tcPr>
            <w:tcW w:w="1361" w:type="dxa"/>
            <w:gridSpan w:val="2"/>
            <w:tcBorders/>
            <w:vAlign w:val="center"/>
          </w:tcPr>
          <w:p w14:paraId="249D2E07">
            <w:pPr>
              <w:pStyle w:val="style0"/>
              <w:jc w:val="left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常州市创新实验大赛三等奖</w:t>
            </w:r>
          </w:p>
        </w:tc>
        <w:tc>
          <w:tcPr>
            <w:tcW w:w="1298" w:type="dxa"/>
            <w:gridSpan w:val="3"/>
            <w:tcBorders/>
            <w:vAlign w:val="center"/>
          </w:tcPr>
          <w:p w14:paraId="64033AC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常州市教育局2024.12</w:t>
            </w:r>
          </w:p>
        </w:tc>
      </w:tr>
      <w:tr w14:paraId="300CF75F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1511757B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03AA61E6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134E07B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55C23E9E">
            <w:pPr>
              <w:pStyle w:val="style0"/>
              <w:jc w:val="left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046E8AC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186C70C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4BCE9E05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56D634B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76A8BB5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1F8C3A5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567B85F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AA70B6E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7972875D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08D9D25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36C8FE5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0A97062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54D4BE1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7169079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2330E67F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72EED97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1B5A35F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2A17F4E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34B7F43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60AAB4F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6C715AE6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017C55E6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2BECED0F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3753030F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48B0799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70AAEB6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32629CD1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591FF16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0DE6097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6CB36E7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2617E60F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D1FE59D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3D060456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78F6D7A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3F34FEEC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1140F30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12BDB13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6A94459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3FD8621E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2A7E18E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324FEF0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1684630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155B064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60C1CBE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30B9364D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4C013AC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7982884C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5C98536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3845DD4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502E698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626E4772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54D1D8C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557" w:type="dxa"/>
            <w:gridSpan w:val="2"/>
            <w:tcBorders/>
            <w:vAlign w:val="center"/>
          </w:tcPr>
          <w:p w14:paraId="575413E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61" w:type="dxa"/>
            <w:gridSpan w:val="2"/>
            <w:tcBorders/>
            <w:vAlign w:val="center"/>
          </w:tcPr>
          <w:p w14:paraId="5FB17AD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298" w:type="dxa"/>
            <w:gridSpan w:val="3"/>
            <w:tcBorders/>
            <w:vAlign w:val="center"/>
          </w:tcPr>
          <w:p w14:paraId="1315699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BCB9CB3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restart"/>
            <w:tcBorders/>
            <w:vAlign w:val="center"/>
          </w:tcPr>
          <w:p w14:paraId="7D4745CA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综合荣誉</w:t>
            </w:r>
          </w:p>
        </w:tc>
        <w:tc>
          <w:tcPr>
            <w:tcW w:w="2694" w:type="dxa"/>
            <w:gridSpan w:val="5"/>
            <w:tcBorders/>
            <w:vAlign w:val="center"/>
          </w:tcPr>
          <w:p w14:paraId="20EA367E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获奖名称</w:t>
            </w:r>
          </w:p>
        </w:tc>
        <w:tc>
          <w:tcPr>
            <w:tcW w:w="4216" w:type="dxa"/>
            <w:gridSpan w:val="7"/>
            <w:tcBorders/>
            <w:vAlign w:val="center"/>
          </w:tcPr>
          <w:p w14:paraId="1B9DD03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组织单位及日期</w:t>
            </w:r>
          </w:p>
        </w:tc>
      </w:tr>
      <w:tr w14:paraId="0C597AC2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7F00D915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3AA388C2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16" w:type="dxa"/>
            <w:gridSpan w:val="7"/>
            <w:tcBorders/>
            <w:vAlign w:val="center"/>
          </w:tcPr>
          <w:p w14:paraId="5DB79BBF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23A27006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674626F6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1B4928B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16" w:type="dxa"/>
            <w:gridSpan w:val="7"/>
            <w:tcBorders/>
            <w:vAlign w:val="center"/>
          </w:tcPr>
          <w:p w14:paraId="6B7FDC49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2ADBD77B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224D6337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16E4307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16" w:type="dxa"/>
            <w:gridSpan w:val="7"/>
            <w:tcBorders/>
            <w:vAlign w:val="center"/>
          </w:tcPr>
          <w:p w14:paraId="514EBD79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9B4EF52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40C32B4B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5014590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16" w:type="dxa"/>
            <w:gridSpan w:val="7"/>
            <w:tcBorders/>
            <w:vAlign w:val="center"/>
          </w:tcPr>
          <w:p w14:paraId="60EB344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BEC79E2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66E246ED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3A4B181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16" w:type="dxa"/>
            <w:gridSpan w:val="7"/>
            <w:tcBorders/>
            <w:vAlign w:val="center"/>
          </w:tcPr>
          <w:p w14:paraId="2043F51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FDEE230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4243FA58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684BE0E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16" w:type="dxa"/>
            <w:gridSpan w:val="7"/>
            <w:tcBorders/>
            <w:vAlign w:val="center"/>
          </w:tcPr>
          <w:p w14:paraId="2F216E4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222EA65A">
        <w:tblPrEx/>
        <w:trPr>
          <w:trHeight w:val="482" w:hRule="atLeast"/>
          <w:jc w:val="center"/>
        </w:trPr>
        <w:tc>
          <w:tcPr>
            <w:tcW w:w="1690" w:type="dxa"/>
            <w:gridSpan w:val="2"/>
            <w:vMerge w:val="continue"/>
            <w:tcBorders/>
            <w:vAlign w:val="center"/>
          </w:tcPr>
          <w:p w14:paraId="059BE720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694" w:type="dxa"/>
            <w:gridSpan w:val="5"/>
            <w:tcBorders/>
            <w:vAlign w:val="center"/>
          </w:tcPr>
          <w:p w14:paraId="2D6B1AF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16" w:type="dxa"/>
            <w:gridSpan w:val="7"/>
            <w:tcBorders/>
            <w:vAlign w:val="center"/>
          </w:tcPr>
          <w:p w14:paraId="482B458E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9CA8408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tcBorders/>
            <w:vAlign w:val="center"/>
          </w:tcPr>
          <w:p w14:paraId="777F1D11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课题</w:t>
            </w:r>
          </w:p>
          <w:p w14:paraId="5D88BC06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研究</w:t>
            </w:r>
          </w:p>
        </w:tc>
        <w:tc>
          <w:tcPr>
            <w:tcW w:w="4239" w:type="dxa"/>
            <w:gridSpan w:val="7"/>
            <w:tcBorders/>
            <w:vAlign w:val="center"/>
          </w:tcPr>
          <w:p w14:paraId="418D835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课题名称</w:t>
            </w:r>
          </w:p>
        </w:tc>
        <w:tc>
          <w:tcPr>
            <w:tcW w:w="1347" w:type="dxa"/>
            <w:gridSpan w:val="2"/>
            <w:tcBorders/>
            <w:vAlign w:val="center"/>
          </w:tcPr>
          <w:p w14:paraId="45BAF0E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课题级别</w:t>
            </w:r>
          </w:p>
          <w:p w14:paraId="69952B26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（省</w:t>
            </w:r>
            <w:r>
              <w:rPr>
                <w:rFonts w:ascii="仿宋_GB2312" w:cs="仿宋_GB2312" w:eastAsia="仿宋_GB2312" w:hint="eastAsia"/>
                <w:color w:val="auto"/>
                <w:lang w:eastAsia="zh-CN"/>
              </w:rPr>
              <w:t>、</w:t>
            </w:r>
            <w:r>
              <w:rPr>
                <w:rFonts w:ascii="仿宋_GB2312" w:cs="仿宋_GB2312" w:eastAsia="仿宋_GB2312" w:hint="eastAsia"/>
                <w:color w:val="auto"/>
                <w:lang w:val="en-US" w:eastAsia="zh-CN"/>
              </w:rPr>
              <w:t>市、区、校级</w:t>
            </w:r>
            <w:r>
              <w:rPr>
                <w:rFonts w:ascii="仿宋_GB2312" w:cs="仿宋_GB2312" w:eastAsia="仿宋_GB2312" w:hint="eastAsia"/>
                <w:color w:val="auto"/>
              </w:rPr>
              <w:t>）</w:t>
            </w:r>
          </w:p>
        </w:tc>
        <w:tc>
          <w:tcPr>
            <w:tcW w:w="1300" w:type="dxa"/>
            <w:gridSpan w:val="3"/>
            <w:tcBorders/>
            <w:vAlign w:val="center"/>
          </w:tcPr>
          <w:p w14:paraId="75B08DA7">
            <w:pPr>
              <w:pStyle w:val="style0"/>
              <w:widowControl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立项时间</w:t>
            </w:r>
          </w:p>
          <w:p w14:paraId="7CC3419F">
            <w:pPr>
              <w:pStyle w:val="style0"/>
              <w:widowControl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（完成情况）</w:t>
            </w:r>
          </w:p>
        </w:tc>
      </w:tr>
      <w:tr w14:paraId="29B27E18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2329BC00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39" w:type="dxa"/>
            <w:gridSpan w:val="7"/>
            <w:tcBorders/>
            <w:vAlign w:val="center"/>
          </w:tcPr>
          <w:p w14:paraId="5C216908">
            <w:pPr>
              <w:pStyle w:val="style0"/>
              <w:jc w:val="left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“双新”视域下，构建活力综合课堂的研究</w:t>
            </w:r>
          </w:p>
        </w:tc>
        <w:tc>
          <w:tcPr>
            <w:tcW w:w="1347" w:type="dxa"/>
            <w:gridSpan w:val="2"/>
            <w:tcBorders/>
            <w:vAlign w:val="center"/>
          </w:tcPr>
          <w:p w14:paraId="55CF3C89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  <w:p w14:paraId="7319F6A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5AAE7629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  <w:p w14:paraId="7715FAA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AA7FA77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0E2055CB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39" w:type="dxa"/>
            <w:gridSpan w:val="7"/>
            <w:tcBorders/>
            <w:vAlign w:val="center"/>
          </w:tcPr>
          <w:p w14:paraId="2514C11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tcBorders/>
            <w:vAlign w:val="center"/>
          </w:tcPr>
          <w:p w14:paraId="2CA5E32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6D7F270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82FEAEC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66066114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4239" w:type="dxa"/>
            <w:gridSpan w:val="7"/>
            <w:tcBorders/>
            <w:vAlign w:val="center"/>
          </w:tcPr>
          <w:p w14:paraId="6E2663E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47" w:type="dxa"/>
            <w:gridSpan w:val="2"/>
            <w:tcBorders/>
            <w:vAlign w:val="center"/>
          </w:tcPr>
          <w:p w14:paraId="16507B7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39BA0639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21DCB31F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tcBorders/>
            <w:vAlign w:val="center"/>
          </w:tcPr>
          <w:p w14:paraId="021EA926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论文获奖或发表</w:t>
            </w:r>
          </w:p>
        </w:tc>
        <w:tc>
          <w:tcPr>
            <w:tcW w:w="1021" w:type="dxa"/>
            <w:gridSpan w:val="2"/>
            <w:tcBorders/>
            <w:vAlign w:val="center"/>
          </w:tcPr>
          <w:p w14:paraId="0894B70F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姓名</w:t>
            </w:r>
          </w:p>
        </w:tc>
        <w:tc>
          <w:tcPr>
            <w:tcW w:w="2728" w:type="dxa"/>
            <w:gridSpan w:val="4"/>
            <w:tcBorders/>
            <w:vAlign w:val="center"/>
          </w:tcPr>
          <w:p w14:paraId="294558BF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论文名称</w:t>
            </w:r>
          </w:p>
        </w:tc>
        <w:tc>
          <w:tcPr>
            <w:tcW w:w="1837" w:type="dxa"/>
            <w:gridSpan w:val="3"/>
            <w:tcBorders/>
            <w:vAlign w:val="center"/>
          </w:tcPr>
          <w:p w14:paraId="73BFEBD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刊物名称（授奖单位）及发表（获奖）日期</w:t>
            </w:r>
          </w:p>
        </w:tc>
        <w:tc>
          <w:tcPr>
            <w:tcW w:w="1300" w:type="dxa"/>
            <w:gridSpan w:val="3"/>
            <w:tcBorders/>
            <w:vAlign w:val="center"/>
          </w:tcPr>
          <w:p w14:paraId="35C446BF">
            <w:pPr>
              <w:pStyle w:val="style0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刊号（</w:t>
            </w:r>
            <w:r>
              <w:rPr>
                <w:rFonts w:ascii="仿宋_GB2312" w:cs="仿宋_GB2312" w:eastAsia="仿宋_GB2312"/>
                <w:color w:val="auto"/>
              </w:rPr>
              <w:t>CN</w:t>
            </w:r>
            <w:r>
              <w:rPr>
                <w:rFonts w:ascii="仿宋_GB2312" w:cs="仿宋_GB2312" w:eastAsia="仿宋_GB2312" w:hint="eastAsia"/>
                <w:color w:val="auto"/>
              </w:rPr>
              <w:t>）</w:t>
            </w:r>
          </w:p>
        </w:tc>
      </w:tr>
      <w:tr w14:paraId="714DBCCD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7BBF5E86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56ADFD0B">
            <w:pPr>
              <w:pStyle w:val="style0"/>
              <w:jc w:val="center"/>
              <w:rPr>
                <w:rFonts w:ascii="仿宋_GB2312" w:eastAsia="仿宋_GB2312" w:hint="default"/>
                <w:color w:val="auto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lang w:val="en-US" w:eastAsia="zh-CN"/>
              </w:rPr>
              <w:t>刘依依</w:t>
            </w:r>
          </w:p>
        </w:tc>
        <w:tc>
          <w:tcPr>
            <w:tcW w:w="2728" w:type="dxa"/>
            <w:gridSpan w:val="4"/>
            <w:tcBorders/>
            <w:vAlign w:val="center"/>
          </w:tcPr>
          <w:p w14:paraId="79A30010">
            <w:pPr>
              <w:pStyle w:val="style0"/>
              <w:jc w:val="center"/>
              <w:rPr>
                <w:rFonts w:ascii="仿宋_GB2312" w:eastAsia="仿宋_GB2312" w:hint="default"/>
                <w:color w:val="auto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lang w:val="en-US" w:eastAsia="zh-CN"/>
              </w:rPr>
              <w:t>渗透院士精神的校本“乡·亲”农业课程的设计初探</w:t>
            </w:r>
          </w:p>
        </w:tc>
        <w:tc>
          <w:tcPr>
            <w:tcW w:w="1837" w:type="dxa"/>
            <w:gridSpan w:val="3"/>
            <w:tcBorders/>
            <w:vAlign w:val="center"/>
          </w:tcPr>
          <w:p w14:paraId="736E2EB2">
            <w:pPr>
              <w:pStyle w:val="style0"/>
              <w:jc w:val="center"/>
              <w:rPr>
                <w:rFonts w:ascii="仿宋_GB2312" w:eastAsia="仿宋_GB2312" w:hint="default"/>
                <w:color w:val="auto"/>
                <w:lang w:val="en-US" w:eastAsia="zh-CN"/>
              </w:rPr>
            </w:pPr>
            <w:r>
              <w:rPr>
                <w:rFonts w:ascii="仿宋_GB2312" w:eastAsia="仿宋_GB2312" w:hint="eastAsia"/>
                <w:color w:val="auto"/>
                <w:lang w:val="en-US" w:eastAsia="zh-CN"/>
              </w:rPr>
              <w:t>长泉州市教育学会小学科学教学专业委员会</w:t>
            </w:r>
          </w:p>
        </w:tc>
        <w:tc>
          <w:tcPr>
            <w:tcW w:w="1300" w:type="dxa"/>
            <w:gridSpan w:val="3"/>
            <w:tcBorders/>
            <w:vAlign w:val="center"/>
          </w:tcPr>
          <w:p w14:paraId="2F2216C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6A9489A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4CA0D84D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34CFDC5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刘依依</w:t>
            </w:r>
          </w:p>
        </w:tc>
        <w:tc>
          <w:tcPr>
            <w:tcW w:w="2728" w:type="dxa"/>
            <w:gridSpan w:val="4"/>
            <w:tcBorders/>
            <w:vAlign w:val="center"/>
          </w:tcPr>
          <w:p w14:paraId="1CCD4FBE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理探链师—小学科学跨学科主题学习的主题开发初探</w:t>
            </w:r>
          </w:p>
        </w:tc>
        <w:tc>
          <w:tcPr>
            <w:tcW w:w="1837" w:type="dxa"/>
            <w:gridSpan w:val="3"/>
            <w:tcBorders/>
            <w:vAlign w:val="center"/>
          </w:tcPr>
          <w:p w14:paraId="2C58C946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市年会论文一等奖</w:t>
            </w:r>
          </w:p>
        </w:tc>
        <w:tc>
          <w:tcPr>
            <w:tcW w:w="1300" w:type="dxa"/>
            <w:gridSpan w:val="3"/>
            <w:tcBorders/>
            <w:vAlign w:val="center"/>
          </w:tcPr>
          <w:p w14:paraId="1F3C39E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1AC8009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3AA78951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0C052242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金枝</w:t>
            </w:r>
          </w:p>
        </w:tc>
        <w:tc>
          <w:tcPr>
            <w:tcW w:w="2728" w:type="dxa"/>
            <w:gridSpan w:val="4"/>
            <w:tcBorders/>
            <w:vAlign w:val="center"/>
          </w:tcPr>
          <w:p w14:paraId="1DD5634C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新课标背景下小学科学跨学科主题教学的策略研究</w:t>
            </w:r>
          </w:p>
        </w:tc>
        <w:tc>
          <w:tcPr>
            <w:tcW w:w="1837" w:type="dxa"/>
            <w:gridSpan w:val="3"/>
            <w:tcBorders/>
            <w:vAlign w:val="center"/>
          </w:tcPr>
          <w:p w14:paraId="172CAD22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  <w:lang w:val="en-US"/>
              </w:rPr>
              <w:t>基础教育参考2025年6期</w:t>
            </w:r>
          </w:p>
        </w:tc>
        <w:tc>
          <w:tcPr>
            <w:tcW w:w="1300" w:type="dxa"/>
            <w:gridSpan w:val="3"/>
            <w:tcBorders/>
            <w:vAlign w:val="center"/>
          </w:tcPr>
          <w:p w14:paraId="391FB266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FB1EC96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684D48DB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1ED8885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624D0B2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12DCD43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2ACC054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1F5C475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52F213D3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5D037D2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530137E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449616DF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07CBA1D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E6EC60A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1D3341C6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7EABF09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4E07AAE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5E62E4B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34DFF71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F3DB8BE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69BFA8DE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26F4AB1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0CC625B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1C61085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0550407E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271CADB5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135F8E22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0E29A04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151CFE1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7F58217C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3FE24ACE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3C54995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5E25BABF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34BB4E1F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28840EA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64F154AC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608A350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65CFE638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048696FD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11D67D5E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31B135FE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3A2D1B0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6E1E452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C4227B1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5E991BA1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61746A3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7E5CC89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664ECD59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753CF33E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31C73ED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59980919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44D47469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1C07FD8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4550F2D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09A4FDCC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576FA0D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5734AF85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0ED1275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58A1FB5E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48656A0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425F36C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EF82882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3BE629E3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275D98F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665710C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7B9018D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03C24AB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FEE8656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146EEF2A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35FF9DF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6732A3D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475E7D7C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5507BBE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0BECA65A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0153672B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7D55AB66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4593060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4E85C68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461030E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0E4C842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07B5E59E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3E50949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167EB28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52BBF1B6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6891CBE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976D579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0EC267CE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213CA43F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269D331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405B4F46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70A7F6D9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14711FE2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0B8BD4D0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6E09F4F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580265B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07FB3F6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251E2F1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7703A746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47C7A856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11B0CEB2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55E94C6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5DA3EAA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2E2EE72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4A49FE66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4C5EBFC3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27006F95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708AE12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3452FEC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43CF39B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4FE2D04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03C1B5F4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7137574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53C5C00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3C03B24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041B414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3900B06D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2C91C7CC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2AC6E62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7C731D5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6B94B20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5927B34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</w:tr>
      <w:tr w14:paraId="53770920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restart"/>
            <w:tcBorders/>
            <w:vAlign w:val="center"/>
          </w:tcPr>
          <w:p w14:paraId="1D642428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专著出版</w:t>
            </w:r>
          </w:p>
        </w:tc>
        <w:tc>
          <w:tcPr>
            <w:tcW w:w="1021" w:type="dxa"/>
            <w:gridSpan w:val="2"/>
            <w:tcBorders/>
            <w:vAlign w:val="center"/>
          </w:tcPr>
          <w:p w14:paraId="531B67E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姓名</w:t>
            </w:r>
          </w:p>
        </w:tc>
        <w:tc>
          <w:tcPr>
            <w:tcW w:w="2728" w:type="dxa"/>
            <w:gridSpan w:val="4"/>
            <w:tcBorders/>
            <w:vAlign w:val="center"/>
          </w:tcPr>
          <w:p w14:paraId="7C2BFAC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名称</w:t>
            </w:r>
          </w:p>
        </w:tc>
        <w:tc>
          <w:tcPr>
            <w:tcW w:w="1837" w:type="dxa"/>
            <w:gridSpan w:val="3"/>
            <w:tcBorders/>
            <w:vAlign w:val="center"/>
          </w:tcPr>
          <w:p w14:paraId="66471374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出版单位及日期</w:t>
            </w:r>
          </w:p>
        </w:tc>
        <w:tc>
          <w:tcPr>
            <w:tcW w:w="1300" w:type="dxa"/>
            <w:gridSpan w:val="3"/>
            <w:tcBorders/>
            <w:vAlign w:val="center"/>
          </w:tcPr>
          <w:p w14:paraId="2B92C281">
            <w:pPr>
              <w:pStyle w:val="style0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书号（</w:t>
            </w:r>
            <w:r>
              <w:rPr>
                <w:rFonts w:ascii="仿宋_GB2312" w:cs="仿宋_GB2312" w:eastAsia="仿宋_GB2312"/>
                <w:color w:val="auto"/>
              </w:rPr>
              <w:t>ISBN</w:t>
            </w:r>
            <w:r>
              <w:rPr>
                <w:rFonts w:ascii="仿宋_GB2312" w:cs="仿宋_GB2312" w:eastAsia="仿宋_GB2312" w:hint="eastAsia"/>
                <w:color w:val="auto"/>
              </w:rPr>
              <w:t>）</w:t>
            </w:r>
          </w:p>
        </w:tc>
      </w:tr>
      <w:tr w14:paraId="31A5FCF2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49824F56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47C454E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77B5664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5D96EBF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775AB690">
            <w:pPr>
              <w:pStyle w:val="style0"/>
              <w:rPr>
                <w:rFonts w:ascii="仿宋_GB2312" w:eastAsia="仿宋_GB2312"/>
                <w:color w:val="auto"/>
              </w:rPr>
            </w:pPr>
          </w:p>
        </w:tc>
      </w:tr>
      <w:tr w14:paraId="74B87DBF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2D4E38A1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35EFE018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6183561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6A23E53B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0289E70A">
            <w:pPr>
              <w:pStyle w:val="style0"/>
              <w:rPr>
                <w:rFonts w:ascii="仿宋_GB2312" w:eastAsia="仿宋_GB2312"/>
                <w:color w:val="auto"/>
              </w:rPr>
            </w:pPr>
          </w:p>
        </w:tc>
      </w:tr>
      <w:tr w14:paraId="48707558">
        <w:tblPrEx/>
        <w:trPr>
          <w:trHeight w:val="482" w:hRule="atLeast"/>
          <w:jc w:val="center"/>
        </w:trPr>
        <w:tc>
          <w:tcPr>
            <w:tcW w:w="1708" w:type="dxa"/>
            <w:gridSpan w:val="2"/>
            <w:vMerge w:val="continue"/>
            <w:tcBorders/>
            <w:vAlign w:val="center"/>
          </w:tcPr>
          <w:p w14:paraId="05B79471">
            <w:pPr>
              <w:pStyle w:val="style0"/>
              <w:snapToGrid w:val="false"/>
              <w:spacing w:lineRule="auto" w:line="36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021" w:type="dxa"/>
            <w:gridSpan w:val="2"/>
            <w:tcBorders/>
            <w:vAlign w:val="center"/>
          </w:tcPr>
          <w:p w14:paraId="71CC4A90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2728" w:type="dxa"/>
            <w:gridSpan w:val="4"/>
            <w:tcBorders/>
            <w:vAlign w:val="center"/>
          </w:tcPr>
          <w:p w14:paraId="0743B65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837" w:type="dxa"/>
            <w:gridSpan w:val="3"/>
            <w:tcBorders/>
            <w:vAlign w:val="center"/>
          </w:tcPr>
          <w:p w14:paraId="65DAA15E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00" w:type="dxa"/>
            <w:gridSpan w:val="3"/>
            <w:tcBorders/>
            <w:vAlign w:val="center"/>
          </w:tcPr>
          <w:p w14:paraId="42EB1128">
            <w:pPr>
              <w:pStyle w:val="style0"/>
              <w:rPr>
                <w:rFonts w:ascii="仿宋_GB2312" w:eastAsia="仿宋_GB2312"/>
                <w:color w:val="auto"/>
              </w:rPr>
            </w:pPr>
          </w:p>
        </w:tc>
      </w:tr>
      <w:tr w14:paraId="5548FC6C">
        <w:tblPrEx/>
        <w:trPr>
          <w:trHeight w:val="482" w:hRule="atLeast"/>
          <w:jc w:val="center"/>
        </w:trPr>
        <w:tc>
          <w:tcPr>
            <w:tcW w:w="1708" w:type="dxa"/>
            <w:gridSpan w:val="2"/>
            <w:tcBorders/>
            <w:vAlign w:val="center"/>
          </w:tcPr>
          <w:p w14:paraId="64917303">
            <w:pPr>
              <w:pStyle w:val="style0"/>
              <w:jc w:val="center"/>
              <w:rPr>
                <w:rFonts w:ascii="仿宋_GB2312" w:cs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学校</w:t>
            </w:r>
          </w:p>
          <w:p w14:paraId="084D3CA3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考核</w:t>
            </w:r>
          </w:p>
          <w:p w14:paraId="12C30FA7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意见</w:t>
            </w:r>
          </w:p>
        </w:tc>
        <w:tc>
          <w:tcPr>
            <w:tcW w:w="6886" w:type="dxa"/>
            <w:gridSpan w:val="12"/>
            <w:tcBorders/>
            <w:vAlign w:val="center"/>
          </w:tcPr>
          <w:p w14:paraId="267C056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  <w:p w14:paraId="26B700DA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  <w:p w14:paraId="6E44D61D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  <w:p w14:paraId="1ECA8BF1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  <w:p w14:paraId="08D0ED36">
            <w:pPr>
              <w:pStyle w:val="style0"/>
              <w:jc w:val="center"/>
              <w:rPr>
                <w:rFonts w:ascii="仿宋_GB2312" w:eastAsia="仿宋_GB2312"/>
                <w:color w:val="auto"/>
              </w:rPr>
            </w:pPr>
          </w:p>
          <w:p w14:paraId="75CC1382">
            <w:pPr>
              <w:pStyle w:val="style0"/>
              <w:rPr>
                <w:rFonts w:ascii="仿宋_GB2312" w:eastAsia="仿宋_GB2312"/>
                <w:color w:val="auto"/>
              </w:rPr>
            </w:pPr>
          </w:p>
          <w:p w14:paraId="62D289FF">
            <w:pPr>
              <w:pStyle w:val="style0"/>
              <w:wordWrap w:val="false"/>
              <w:jc w:val="right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（单位公章）</w:t>
            </w:r>
            <w:r>
              <w:rPr>
                <w:rFonts w:ascii="仿宋_GB2312" w:cs="仿宋_GB2312" w:eastAsia="仿宋_GB2312"/>
                <w:color w:val="auto"/>
              </w:rPr>
              <w:t xml:space="preserve">  </w:t>
            </w:r>
          </w:p>
          <w:p w14:paraId="19430CBA">
            <w:pPr>
              <w:pStyle w:val="style0"/>
              <w:jc w:val="right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cs="仿宋_GB2312" w:eastAsia="仿宋_GB2312" w:hint="eastAsia"/>
                <w:color w:val="auto"/>
              </w:rPr>
              <w:t>年</w:t>
            </w:r>
            <w:r>
              <w:rPr>
                <w:rFonts w:ascii="仿宋_GB2312" w:cs="仿宋_GB2312" w:eastAsia="仿宋_GB2312"/>
                <w:color w:val="auto"/>
              </w:rPr>
              <w:t xml:space="preserve">     </w:t>
            </w:r>
            <w:r>
              <w:rPr>
                <w:rFonts w:ascii="仿宋_GB2312" w:cs="仿宋_GB2312" w:eastAsia="仿宋_GB2312" w:hint="eastAsia"/>
                <w:color w:val="auto"/>
              </w:rPr>
              <w:t>月</w:t>
            </w:r>
            <w:r>
              <w:rPr>
                <w:rFonts w:ascii="仿宋_GB2312" w:cs="仿宋_GB2312" w:eastAsia="仿宋_GB2312"/>
                <w:color w:val="auto"/>
              </w:rPr>
              <w:t xml:space="preserve">     </w:t>
            </w:r>
            <w:r>
              <w:rPr>
                <w:rFonts w:ascii="仿宋_GB2312" w:cs="仿宋_GB2312" w:eastAsia="仿宋_GB2312" w:hint="eastAsia"/>
                <w:color w:val="auto"/>
              </w:rPr>
              <w:t>日</w:t>
            </w:r>
          </w:p>
        </w:tc>
      </w:tr>
    </w:tbl>
    <w:p w14:paraId="62BB2813">
      <w:pPr>
        <w:pStyle w:val="style0"/>
        <w:rPr>
          <w:color w:val="auto"/>
        </w:rPr>
      </w:pPr>
    </w:p>
    <w:p w14:paraId="5B746EF0">
      <w:pPr>
        <w:pStyle w:val="style0"/>
        <w:rPr>
          <w:color w:val="auto"/>
        </w:rPr>
      </w:pPr>
    </w:p>
    <w:p w14:paraId="0E58F18D">
      <w:pPr>
        <w:pStyle w:val="style0"/>
        <w:rPr>
          <w:color w:val="auto"/>
        </w:rPr>
      </w:pPr>
    </w:p>
    <w:p w14:paraId="0FDA43F1">
      <w:pPr>
        <w:pStyle w:val="style0"/>
        <w:rPr>
          <w:rFonts w:ascii="宋体" w:cs="宋体" w:hAnsi="宋体"/>
          <w:b/>
          <w:bCs/>
          <w:color w:val="auto"/>
          <w:sz w:val="24"/>
          <w:szCs w:val="24"/>
        </w:rPr>
      </w:pPr>
    </w:p>
    <w:p w14:paraId="1623A83D">
      <w:pPr>
        <w:pStyle w:val="style0"/>
        <w:rPr>
          <w:color w:val="auto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楷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3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1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41">
    <w:name w:val="page number"/>
    <w:basedOn w:val="style65"/>
    <w:next w:val="style41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Words>981</Words>
  <Pages>4</Pages>
  <Characters>1047</Characters>
  <Application>WPS Office</Application>
  <DocSecurity>0</DocSecurity>
  <Paragraphs>519</Paragraphs>
  <ScaleCrop>false</ScaleCrop>
  <LinksUpToDate>false</LinksUpToDate>
  <CharactersWithSpaces>1077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2023-04-19T01:28:00Z</dcterms:created>
  <dc:creator>ASUS</dc:creator>
  <lastModifiedBy>V2419A</lastModifiedBy>
  <dcterms:modified xsi:type="dcterms:W3CDTF">2025-07-14T03:15:09Z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b1351958d3c248f59e6716b1725eee3c_23</vt:lpwstr>
  </property>
  <property fmtid="{D5CDD505-2E9C-101B-9397-08002B2CF9AE}" pid="4" name="KSOTemplateDocerSaveRecord">
    <vt:lpwstr>eyJoZGlkIjoiYWY2ZGM5YTc4ZDZhOTNmZTgwM2Y2NWQyNjVhYzQ3ZmEiLCJ1c2VySWQiOiIzMTA1MTYxMTUifQ==</vt:lpwstr>
  </property>
</Properties>
</file>