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FE302">
      <w:pPr>
        <w:ind w:firstLine="622" w:firstLineChars="200"/>
        <w:jc w:val="center"/>
        <w:rPr>
          <w:rFonts w:hint="eastAsia" w:ascii="SimSun" w:hAnsi="SimSun"/>
          <w:b/>
          <w:spacing w:val="15"/>
          <w:sz w:val="28"/>
          <w:szCs w:val="30"/>
        </w:rPr>
      </w:pPr>
      <w:r>
        <w:rPr>
          <w:rFonts w:ascii="SimSun" w:hAnsi="SimSun"/>
          <w:b/>
          <w:spacing w:val="15"/>
          <w:sz w:val="28"/>
          <w:szCs w:val="30"/>
        </w:rPr>
        <w:t>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4</w:t>
      </w:r>
      <w:r>
        <w:rPr>
          <w:rFonts w:ascii="SimSun" w:hAnsi="SimSun"/>
          <w:b/>
          <w:spacing w:val="15"/>
          <w:sz w:val="28"/>
          <w:szCs w:val="30"/>
        </w:rPr>
        <w:t>-20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5</w:t>
      </w:r>
      <w:r>
        <w:rPr>
          <w:rFonts w:ascii="SimSun" w:hAnsi="SimSun"/>
          <w:b/>
          <w:spacing w:val="15"/>
          <w:sz w:val="28"/>
          <w:szCs w:val="30"/>
        </w:rPr>
        <w:t>学年第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二</w:t>
      </w:r>
      <w:r>
        <w:rPr>
          <w:rFonts w:ascii="SimSun" w:hAnsi="SimSun"/>
          <w:b/>
          <w:spacing w:val="15"/>
          <w:sz w:val="28"/>
          <w:szCs w:val="30"/>
        </w:rPr>
        <w:t>学期</w:t>
      </w:r>
      <w:r>
        <w:rPr>
          <w:rFonts w:hint="eastAsia" w:ascii="SimSun" w:hAnsi="SimSun"/>
          <w:b/>
          <w:spacing w:val="15"/>
          <w:sz w:val="28"/>
          <w:szCs w:val="30"/>
          <w:lang w:eastAsia="zh-CN"/>
        </w:rPr>
        <w:t>初中</w:t>
      </w:r>
      <w:r>
        <w:rPr>
          <w:rFonts w:ascii="SimSun" w:hAnsi="SimSun"/>
          <w:b/>
          <w:spacing w:val="15"/>
          <w:sz w:val="28"/>
          <w:szCs w:val="30"/>
        </w:rPr>
        <w:t>数学教研组计划</w:t>
      </w:r>
    </w:p>
    <w:p w14:paraId="543BC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一、指导思想： </w:t>
      </w:r>
    </w:p>
    <w:p w14:paraId="2D1D2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以《义务教育数学课程标准（2022年版）》为纲领，围绕“核心素养导向”的教学改革目标，落实立德树人根本任务，推动教师教学观念从“知识传授”向“素养培养”转变，教学行为从“经验主导”向“科学设计”转型，课堂模式从“教师中心”向“学生主体”升级，构建“学为中心、素养为本”的数学教学新样态。</w:t>
      </w:r>
    </w:p>
    <w:p w14:paraId="7B374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二、工作</w:t>
      </w:r>
      <w:r>
        <w:rPr>
          <w:rFonts w:hint="eastAsia"/>
          <w:sz w:val="24"/>
          <w:szCs w:val="24"/>
          <w:lang w:val="en-US" w:eastAsia="zh-CN"/>
        </w:rPr>
        <w:t>目标</w:t>
      </w:r>
      <w:r>
        <w:rPr>
          <w:rFonts w:hint="eastAsia"/>
          <w:sz w:val="24"/>
          <w:szCs w:val="24"/>
        </w:rPr>
        <w:t xml:space="preserve">： </w:t>
      </w:r>
    </w:p>
    <w:p w14:paraId="27927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 观念转型：深化新课标学习，推动教师理解数学核心素养（抽象能力、逻辑推理、数学建模、运算能力、直观想象、数据分析）的内涵与实施路径。  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2. 行为转变：优化教学设计，落实“教—学—评”一致性原则，探索差异化教学、项目化学习等实践策略。  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3. 课堂重构：打造以“问题解决”为主线、信息技术深度融合的探究型课堂，提升学生自主学习能力。  </w:t>
      </w:r>
    </w:p>
    <w:p w14:paraId="5E1E3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 xml:space="preserve">、具体措施： </w:t>
      </w:r>
    </w:p>
    <w:p w14:paraId="44135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（一）深化理论学习，更新教学观念 </w:t>
      </w:r>
    </w:p>
    <w:p w14:paraId="5F2B2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1. 新课标研读与内化  </w:t>
      </w:r>
    </w:p>
    <w:p w14:paraId="6C30B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开展“新课标·新课堂”专题研修（每月1次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借助教研活动</w:t>
      </w:r>
      <w:r>
        <w:rPr>
          <w:sz w:val="24"/>
          <w:szCs w:val="24"/>
        </w:rPr>
        <w:t>），聚焦核心素养目标分解、学业质量评价标准等内容，结合教学案例进行解读。  </w:t>
      </w:r>
    </w:p>
    <w:p w14:paraId="571D5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组织教师参与省市级新课标培训，并开展校内二次分享，形成“学习—反思—实践”闭环。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2. 教学观念转型行动  </w:t>
      </w:r>
    </w:p>
    <w:p w14:paraId="7A8D4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主题研讨：围绕“从解题到育人”“从知识到素养”等话题，通过辩论、微论坛等形式破除传统教学惯性。  </w:t>
      </w:r>
    </w:p>
    <w:p w14:paraId="107F0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案例对比：分析传统课堂与素养导向课堂的差异（如“勾股定理”教学对比），提炼观念转变的具体表现。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（二）优化教学行为，落实课标要求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1. 教学设计转型  </w:t>
      </w:r>
    </w:p>
    <w:p w14:paraId="5C9F0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大单元教学设计：以章节或主题为单位整合教学内容，设计驱动性问题（如“如何用函数模型预测校园用电量？”），突出知识的结构化与应用性。  </w:t>
      </w:r>
    </w:p>
    <w:p w14:paraId="50501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差异化分层设计：针对不同学情设计分层任务单，如基础型、拓展型、挑战型作业，满足学生个性化需求。  </w:t>
      </w:r>
    </w:p>
    <w:p w14:paraId="4A76C9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 教学方式创新  </w:t>
      </w:r>
    </w:p>
    <w:p w14:paraId="4625FA3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项目化学习（PBL）：每学期开展1-2个跨学科项目（如“设计校园节水方案——数据分析与函数应用”），培养学生综合素养。  </w:t>
      </w:r>
    </w:p>
    <w:p w14:paraId="63983BA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信息技术融合：利用GeoGebra、希沃白板等工具，动态呈现几何变换、函数图像，增强课堂直观性。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（三）推动课堂转型，构建学为中心模式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1. 课堂结构改革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“三环六步”教学模式：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  课前：发布预习任务（微课+导学案），诊断学情；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  课中：问题驱动（情境导入）→自主探究→合作交流→教师点拨→实践应用→总结反思；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  课后：分层作业+个性化辅导。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2. 课堂观察与改进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开展“素养导向课堂”听评课活动，重点关注：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  学生参与度（提问、讨论、展示时间占比）；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  问题设计的开放性与思维深度；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  信息技术与学科融合的有效性。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（四）完善评价体系，促进教学评一致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1. 多元化评价设计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过程性评价：通过课堂表现记录、实践项目报告、错题反思日志等跟踪学习过程。 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 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终结性评价：命制“情境化试题”（如结合生活实际设计统计应用题），减少机械计算题占比。  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2. 教师教学反思机制 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 每月撰写1篇“教学行为改进日志”，聚焦课堂转型中的问题与对策。  </w:t>
      </w:r>
    </w:p>
    <w:p w14:paraId="37CD1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、具体的工作：</w:t>
      </w:r>
    </w:p>
    <w:p w14:paraId="671A7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月份：</w:t>
      </w:r>
    </w:p>
    <w:p w14:paraId="4B54173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各年级数学教师制定好本学期的教学计划。 </w:t>
      </w:r>
    </w:p>
    <w:p w14:paraId="4E17033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教研组长制定好教研组工作计划。</w:t>
      </w:r>
    </w:p>
    <w:p w14:paraId="50745CD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备课组集备、个备，超前一周备课量。</w:t>
      </w:r>
    </w:p>
    <w:p w14:paraId="22DAEBC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各位教师申报公开课。</w:t>
      </w:r>
    </w:p>
    <w:p w14:paraId="5B14EAC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期初工作检查和整理。</w:t>
      </w:r>
    </w:p>
    <w:p w14:paraId="5269E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 w14:paraId="540F6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月份：</w:t>
      </w:r>
    </w:p>
    <w:p w14:paraId="23D4815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开展</w:t>
      </w:r>
      <w:r>
        <w:rPr>
          <w:rFonts w:hint="eastAsia"/>
          <w:sz w:val="24"/>
          <w:szCs w:val="24"/>
          <w:lang w:val="en-US" w:eastAsia="zh-CN"/>
        </w:rPr>
        <w:t>xxx xxx校级公开课</w:t>
      </w:r>
      <w:r>
        <w:rPr>
          <w:rFonts w:hint="eastAsia"/>
          <w:sz w:val="24"/>
          <w:szCs w:val="24"/>
        </w:rPr>
        <w:t>活动</w:t>
      </w:r>
      <w:r>
        <w:rPr>
          <w:sz w:val="24"/>
          <w:szCs w:val="24"/>
        </w:rPr>
        <w:t>。</w:t>
      </w:r>
    </w:p>
    <w:p w14:paraId="420FA4D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作好阶段性调研工作。</w:t>
      </w:r>
    </w:p>
    <w:p w14:paraId="1EEE711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教海探航论文投稿初审。</w:t>
      </w:r>
    </w:p>
    <w:p w14:paraId="696DB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 w14:paraId="193A5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月份：</w:t>
      </w:r>
    </w:p>
    <w:p w14:paraId="752AD44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教师调整教学进度，制定好期中复习计划。</w:t>
      </w:r>
    </w:p>
    <w:p w14:paraId="5694C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期中质量分析。</w:t>
      </w:r>
    </w:p>
    <w:p w14:paraId="4F49E846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开展xxx xx校级公开课活动。</w:t>
      </w:r>
    </w:p>
    <w:p w14:paraId="4DF0F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 w14:paraId="6833A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</w:rPr>
        <w:t>月份：</w:t>
      </w:r>
    </w:p>
    <w:p w14:paraId="5CAB623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开展xxx xxx校级公开课活动。</w:t>
      </w:r>
    </w:p>
    <w:p w14:paraId="15CAC85B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优秀作业展评。</w:t>
      </w:r>
    </w:p>
    <w:p w14:paraId="401668F4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本月教学认真检查。</w:t>
      </w:r>
    </w:p>
    <w:p w14:paraId="22D4CCBB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青年教师</w:t>
      </w:r>
      <w:r>
        <w:rPr>
          <w:rFonts w:hint="eastAsia"/>
          <w:sz w:val="24"/>
          <w:szCs w:val="24"/>
        </w:rPr>
        <w:t>完成至少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篇有质量的数学论文</w:t>
      </w:r>
      <w:r>
        <w:rPr>
          <w:rFonts w:hint="eastAsia"/>
          <w:sz w:val="24"/>
          <w:szCs w:val="24"/>
          <w:lang w:eastAsia="zh-CN"/>
        </w:rPr>
        <w:t>。</w:t>
      </w:r>
    </w:p>
    <w:p w14:paraId="12C1F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 w14:paraId="63866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六</w:t>
      </w:r>
      <w:r>
        <w:rPr>
          <w:rFonts w:hint="eastAsia"/>
          <w:sz w:val="24"/>
          <w:szCs w:val="24"/>
        </w:rPr>
        <w:t>月份：</w:t>
      </w:r>
    </w:p>
    <w:p w14:paraId="25E7B83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调整教学进度，制定好复习计划。</w:t>
      </w:r>
    </w:p>
    <w:p w14:paraId="7354A962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每位教师写好学期总结和反思。</w:t>
      </w:r>
    </w:p>
    <w:p w14:paraId="0A942C79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各教师做好期末考试的复习工作并做好期末质量分析。</w:t>
      </w:r>
    </w:p>
    <w:p w14:paraId="14DA51FB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初中学业水平考试数学学科试卷分析。</w:t>
      </w:r>
    </w:p>
    <w:p w14:paraId="21F14F1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 w:leftChars="0"/>
        <w:textAlignment w:val="auto"/>
        <w:rPr>
          <w:rFonts w:hint="eastAsia" w:ascii="SimSun" w:hAnsi="SimSun"/>
          <w:sz w:val="24"/>
          <w:szCs w:val="24"/>
          <w:highlight w:val="none"/>
        </w:rPr>
      </w:pPr>
    </w:p>
    <w:p w14:paraId="78DF1C0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东青实验学校数学教研组</w:t>
      </w:r>
    </w:p>
    <w:p w14:paraId="359ADBE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default" w:eastAsia="SimSun"/>
          <w:lang w:val="en-US" w:eastAsia="zh-CN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12</w:t>
      </w:r>
    </w:p>
    <w:p w14:paraId="4EB84DE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</w:p>
    <w:p w14:paraId="37F0FD1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</w:p>
    <w:p w14:paraId="765DCEF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</w:p>
    <w:p w14:paraId="5B95FF1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</w:p>
    <w:p w14:paraId="7ABDB310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eastAsia="SimSun"/>
          <w:lang w:val="en-US" w:eastAsia="zh-CN"/>
        </w:rPr>
      </w:pPr>
      <w:r>
        <w:rPr>
          <w:rFonts w:hint="eastAsia"/>
        </w:rPr>
        <w:t>附：</w:t>
      </w:r>
      <w:r>
        <w:rPr>
          <w:rFonts w:hint="eastAsia"/>
          <w:lang w:val="en-US" w:eastAsia="zh-CN"/>
        </w:rPr>
        <w:t>教研活动</w:t>
      </w:r>
      <w:r>
        <w:rPr>
          <w:rFonts w:hint="eastAsia"/>
        </w:rPr>
        <w:t>安排</w:t>
      </w:r>
    </w:p>
    <w:tbl>
      <w:tblPr>
        <w:tblStyle w:val="5"/>
        <w:tblpPr w:leftFromText="180" w:rightFromText="180" w:vertAnchor="text" w:horzAnchor="page" w:tblpX="1785" w:tblpY="2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8"/>
        <w:gridCol w:w="1126"/>
        <w:gridCol w:w="1080"/>
        <w:gridCol w:w="1693"/>
        <w:gridCol w:w="1780"/>
      </w:tblGrid>
      <w:tr w14:paraId="54F1A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7597627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 w14:paraId="06A5DAA7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教研主题</w:t>
            </w:r>
          </w:p>
        </w:tc>
        <w:tc>
          <w:tcPr>
            <w:tcW w:w="1126" w:type="dxa"/>
          </w:tcPr>
          <w:p w14:paraId="607F3470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080" w:type="dxa"/>
          </w:tcPr>
          <w:p w14:paraId="2E4B83AA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周几</w:t>
            </w:r>
          </w:p>
        </w:tc>
        <w:tc>
          <w:tcPr>
            <w:tcW w:w="1693" w:type="dxa"/>
          </w:tcPr>
          <w:p w14:paraId="01F81BEF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节次</w:t>
            </w:r>
          </w:p>
        </w:tc>
        <w:tc>
          <w:tcPr>
            <w:tcW w:w="1780" w:type="dxa"/>
          </w:tcPr>
          <w:p w14:paraId="1C46173F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</w:tr>
      <w:tr w14:paraId="3471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376A0548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</w:tcPr>
          <w:p w14:paraId="6813EA5D">
            <w:pPr>
              <w:rPr>
                <w:rFonts w:hint="default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期初研讨</w:t>
            </w:r>
          </w:p>
        </w:tc>
        <w:tc>
          <w:tcPr>
            <w:tcW w:w="1126" w:type="dxa"/>
          </w:tcPr>
          <w:p w14:paraId="04DFE565">
            <w:pPr>
              <w:rPr>
                <w:rFonts w:hint="default" w:eastAsia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 w14:paraId="4FB4514E">
            <w:pPr>
              <w:jc w:val="center"/>
              <w:rPr>
                <w:rFonts w:hint="default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</w:t>
            </w:r>
          </w:p>
        </w:tc>
        <w:tc>
          <w:tcPr>
            <w:tcW w:w="1693" w:type="dxa"/>
            <w:vAlign w:val="center"/>
          </w:tcPr>
          <w:p w14:paraId="2282C379">
            <w:pPr>
              <w:jc w:val="center"/>
              <w:rPr>
                <w:rFonts w:hint="default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15：00-15：30</w:t>
            </w:r>
          </w:p>
        </w:tc>
        <w:tc>
          <w:tcPr>
            <w:tcW w:w="1780" w:type="dxa"/>
            <w:vAlign w:val="center"/>
          </w:tcPr>
          <w:p w14:paraId="62DAB985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  <w:tr w14:paraId="515BA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D7CC66B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</w:tcPr>
          <w:p w14:paraId="2A0A5B08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6" w:type="dxa"/>
          </w:tcPr>
          <w:p w14:paraId="2660F7E3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 w14:paraId="2E3F98CC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69D37585">
            <w:pPr>
              <w:jc w:val="center"/>
              <w:rPr>
                <w:rFonts w:hint="default" w:eastAsia="SimSun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2566E638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78E1D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A11B733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</w:tcPr>
          <w:p w14:paraId="0F84FC56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6" w:type="dxa"/>
          </w:tcPr>
          <w:p w14:paraId="3DFDB1A5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 w14:paraId="45220020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091B06D4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4D9D50E5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01DF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78AD43F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</w:tcPr>
          <w:p w14:paraId="788B1E4E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6" w:type="dxa"/>
          </w:tcPr>
          <w:p w14:paraId="134D956E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 w14:paraId="089AFF9F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15FC0609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4AAC3054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17A5B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20064AAB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</w:tcPr>
          <w:p w14:paraId="16C339E6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6" w:type="dxa"/>
          </w:tcPr>
          <w:p w14:paraId="1FB0AA2C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 w14:paraId="530C99E8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474058C5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18BBC937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01E58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72B7D2C9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</w:tcPr>
          <w:p w14:paraId="49B8F29F"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期末总结</w:t>
            </w:r>
          </w:p>
        </w:tc>
        <w:tc>
          <w:tcPr>
            <w:tcW w:w="1126" w:type="dxa"/>
          </w:tcPr>
          <w:p w14:paraId="206BDFF3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 w14:paraId="0B2D269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 w14:paraId="71854560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1882D70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</w:tbl>
    <w:p w14:paraId="45D6A241"/>
    <w:p w14:paraId="2864991D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44D6D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4A3F5149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E5C464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52F30557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EAA16B"/>
    <w:multiLevelType w:val="singleLevel"/>
    <w:tmpl w:val="84EAA16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28CDE70"/>
    <w:multiLevelType w:val="singleLevel"/>
    <w:tmpl w:val="B28CDE7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0B4CA48"/>
    <w:multiLevelType w:val="singleLevel"/>
    <w:tmpl w:val="C0B4CA4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D33397C"/>
    <w:multiLevelType w:val="singleLevel"/>
    <w:tmpl w:val="FD33397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A130C06"/>
    <w:multiLevelType w:val="singleLevel"/>
    <w:tmpl w:val="2A130C0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29C56DE"/>
    <w:multiLevelType w:val="singleLevel"/>
    <w:tmpl w:val="329C56DE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55AD2B33"/>
    <w:rsid w:val="005C4D2E"/>
    <w:rsid w:val="005F037B"/>
    <w:rsid w:val="00BF706B"/>
    <w:rsid w:val="017B11E4"/>
    <w:rsid w:val="01852063"/>
    <w:rsid w:val="04FC263C"/>
    <w:rsid w:val="07195727"/>
    <w:rsid w:val="074B78AB"/>
    <w:rsid w:val="08D12032"/>
    <w:rsid w:val="08E25FED"/>
    <w:rsid w:val="09C53944"/>
    <w:rsid w:val="0A6D7B38"/>
    <w:rsid w:val="0C1C1816"/>
    <w:rsid w:val="0C631EA5"/>
    <w:rsid w:val="0DC13B63"/>
    <w:rsid w:val="0DFE11D3"/>
    <w:rsid w:val="0E4017EB"/>
    <w:rsid w:val="0F67724C"/>
    <w:rsid w:val="0FB81855"/>
    <w:rsid w:val="0FE268D2"/>
    <w:rsid w:val="100D394F"/>
    <w:rsid w:val="11253B0A"/>
    <w:rsid w:val="120B24D6"/>
    <w:rsid w:val="1230601B"/>
    <w:rsid w:val="12C64289"/>
    <w:rsid w:val="13076D7C"/>
    <w:rsid w:val="13482EF0"/>
    <w:rsid w:val="14E629C1"/>
    <w:rsid w:val="152B4878"/>
    <w:rsid w:val="157F52EF"/>
    <w:rsid w:val="15966195"/>
    <w:rsid w:val="168D3A3C"/>
    <w:rsid w:val="171A4BA4"/>
    <w:rsid w:val="189015C1"/>
    <w:rsid w:val="18AB63FB"/>
    <w:rsid w:val="18B84674"/>
    <w:rsid w:val="18D25736"/>
    <w:rsid w:val="19377C8F"/>
    <w:rsid w:val="1AB71D90"/>
    <w:rsid w:val="1B0339AF"/>
    <w:rsid w:val="1B7725C5"/>
    <w:rsid w:val="1BF43C15"/>
    <w:rsid w:val="1D002F2B"/>
    <w:rsid w:val="1E890F8D"/>
    <w:rsid w:val="1F170346"/>
    <w:rsid w:val="1F7546A5"/>
    <w:rsid w:val="1FAA11BB"/>
    <w:rsid w:val="1FE3647B"/>
    <w:rsid w:val="20144886"/>
    <w:rsid w:val="22A719E1"/>
    <w:rsid w:val="234F253F"/>
    <w:rsid w:val="256F255E"/>
    <w:rsid w:val="25F74A2E"/>
    <w:rsid w:val="27D668C5"/>
    <w:rsid w:val="28814A83"/>
    <w:rsid w:val="2984482A"/>
    <w:rsid w:val="29A1655C"/>
    <w:rsid w:val="29BF1033"/>
    <w:rsid w:val="2A904C7B"/>
    <w:rsid w:val="2ACF41CB"/>
    <w:rsid w:val="2ADB491E"/>
    <w:rsid w:val="2D3207A8"/>
    <w:rsid w:val="2DF579F6"/>
    <w:rsid w:val="2E696EF5"/>
    <w:rsid w:val="2E8408BF"/>
    <w:rsid w:val="2F8F4CC0"/>
    <w:rsid w:val="309F63EE"/>
    <w:rsid w:val="30BA4FD6"/>
    <w:rsid w:val="30EB0C9A"/>
    <w:rsid w:val="311E37B6"/>
    <w:rsid w:val="31336B36"/>
    <w:rsid w:val="32935ADE"/>
    <w:rsid w:val="336A2CE3"/>
    <w:rsid w:val="34E358D4"/>
    <w:rsid w:val="35643762"/>
    <w:rsid w:val="35647C06"/>
    <w:rsid w:val="359F29EC"/>
    <w:rsid w:val="372C5141"/>
    <w:rsid w:val="38705E92"/>
    <w:rsid w:val="39B8407C"/>
    <w:rsid w:val="3C236125"/>
    <w:rsid w:val="3C355E58"/>
    <w:rsid w:val="3EDE4585"/>
    <w:rsid w:val="40460634"/>
    <w:rsid w:val="40593593"/>
    <w:rsid w:val="41FB36A0"/>
    <w:rsid w:val="420267DC"/>
    <w:rsid w:val="42852AAE"/>
    <w:rsid w:val="43362BE2"/>
    <w:rsid w:val="43CC0E50"/>
    <w:rsid w:val="445D419E"/>
    <w:rsid w:val="44906321"/>
    <w:rsid w:val="45124F88"/>
    <w:rsid w:val="45E9583E"/>
    <w:rsid w:val="45EE77A4"/>
    <w:rsid w:val="468F671B"/>
    <w:rsid w:val="478A7058"/>
    <w:rsid w:val="49575660"/>
    <w:rsid w:val="499441BE"/>
    <w:rsid w:val="49D92519"/>
    <w:rsid w:val="4A1452FF"/>
    <w:rsid w:val="4AA423AF"/>
    <w:rsid w:val="4ACF23EC"/>
    <w:rsid w:val="4ADA20A4"/>
    <w:rsid w:val="4B3C4B0D"/>
    <w:rsid w:val="4C777851"/>
    <w:rsid w:val="4CFD02CC"/>
    <w:rsid w:val="4D171AAD"/>
    <w:rsid w:val="4EB64FF2"/>
    <w:rsid w:val="4F5A3042"/>
    <w:rsid w:val="50610B72"/>
    <w:rsid w:val="50BA3BA3"/>
    <w:rsid w:val="50C23D07"/>
    <w:rsid w:val="50F33EC0"/>
    <w:rsid w:val="511300BE"/>
    <w:rsid w:val="51840FBC"/>
    <w:rsid w:val="51B15B29"/>
    <w:rsid w:val="520B5239"/>
    <w:rsid w:val="52636E23"/>
    <w:rsid w:val="540C5299"/>
    <w:rsid w:val="54F77CF7"/>
    <w:rsid w:val="55AD2B33"/>
    <w:rsid w:val="562F4AC6"/>
    <w:rsid w:val="56554CD5"/>
    <w:rsid w:val="569A6B8C"/>
    <w:rsid w:val="56AF0889"/>
    <w:rsid w:val="56E36785"/>
    <w:rsid w:val="575E5958"/>
    <w:rsid w:val="59213594"/>
    <w:rsid w:val="59CC3500"/>
    <w:rsid w:val="5B4041A6"/>
    <w:rsid w:val="5BA069F2"/>
    <w:rsid w:val="5BE8197E"/>
    <w:rsid w:val="5F4104EC"/>
    <w:rsid w:val="609B00D0"/>
    <w:rsid w:val="60C12FD8"/>
    <w:rsid w:val="64721148"/>
    <w:rsid w:val="64DD6A72"/>
    <w:rsid w:val="65F362B8"/>
    <w:rsid w:val="66293950"/>
    <w:rsid w:val="663761A5"/>
    <w:rsid w:val="66BF1868"/>
    <w:rsid w:val="66F916AD"/>
    <w:rsid w:val="670C5884"/>
    <w:rsid w:val="68464DC5"/>
    <w:rsid w:val="6A6E08E5"/>
    <w:rsid w:val="6A7379C8"/>
    <w:rsid w:val="6B0F149F"/>
    <w:rsid w:val="6B6F018F"/>
    <w:rsid w:val="6BB34520"/>
    <w:rsid w:val="6E327082"/>
    <w:rsid w:val="707A385E"/>
    <w:rsid w:val="71B66B18"/>
    <w:rsid w:val="73010267"/>
    <w:rsid w:val="73442382"/>
    <w:rsid w:val="73F90F3E"/>
    <w:rsid w:val="74212243"/>
    <w:rsid w:val="749F7D37"/>
    <w:rsid w:val="74C90910"/>
    <w:rsid w:val="755A3C5E"/>
    <w:rsid w:val="755F3023"/>
    <w:rsid w:val="76DB0DCF"/>
    <w:rsid w:val="784B5AE0"/>
    <w:rsid w:val="7879089F"/>
    <w:rsid w:val="79224A93"/>
    <w:rsid w:val="798E037A"/>
    <w:rsid w:val="7A3E3B4E"/>
    <w:rsid w:val="7AA53BCD"/>
    <w:rsid w:val="7B593740"/>
    <w:rsid w:val="7B707D38"/>
    <w:rsid w:val="7C5A4544"/>
    <w:rsid w:val="7C945CA8"/>
    <w:rsid w:val="7E0230E5"/>
    <w:rsid w:val="7F30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1534</Words>
  <Characters>1602</Characters>
  <Lines>0</Lines>
  <Paragraphs>0</Paragraphs>
  <TotalTime>46</TotalTime>
  <ScaleCrop>false</ScaleCrop>
  <LinksUpToDate>false</LinksUpToDate>
  <CharactersWithSpaces>1760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佳莺</cp:lastModifiedBy>
  <dcterms:modified xsi:type="dcterms:W3CDTF">2025-10-23T06:50:19Z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F7D15F80D015476A98CE13D905794D2E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