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40"/>
          <w:szCs w:val="40"/>
          <w:lang w:val="en-US" w:eastAsia="zh-CN"/>
        </w:rPr>
      </w:pPr>
      <w:r>
        <w:rPr>
          <w:rFonts w:hint="eastAsia"/>
          <w:b/>
          <w:bCs/>
          <w:sz w:val="40"/>
          <w:szCs w:val="40"/>
          <w:lang w:val="en-US" w:eastAsia="zh-CN"/>
        </w:rPr>
        <w:t>交往互动式教学设计</w:t>
      </w:r>
    </w:p>
    <w:tbl>
      <w:tblPr>
        <w:tblStyle w:val="2"/>
        <w:tblpPr w:leftFromText="180" w:rightFromText="180" w:vertAnchor="text" w:horzAnchor="page" w:tblpX="1217" w:tblpY="423"/>
        <w:tblOverlap w:val="never"/>
        <w:tblW w:w="1000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23"/>
        <w:gridCol w:w="137"/>
        <w:gridCol w:w="3966"/>
        <w:gridCol w:w="2820"/>
        <w:gridCol w:w="226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6" w:hRule="atLeast"/>
        </w:trPr>
        <w:tc>
          <w:tcPr>
            <w:tcW w:w="823" w:type="dxa"/>
            <w:vMerge w:val="restart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课题</w:t>
            </w:r>
            <w:r>
              <w:rPr>
                <w:rFonts w:ascii="宋体" w:hAnsi="宋体"/>
                <w:sz w:val="22"/>
                <w:szCs w:val="22"/>
              </w:rPr>
              <w:t xml:space="preserve">   </w:t>
            </w:r>
          </w:p>
        </w:tc>
        <w:tc>
          <w:tcPr>
            <w:tcW w:w="4103" w:type="dxa"/>
            <w:gridSpan w:val="2"/>
            <w:vMerge w:val="restart"/>
            <w:tcBorders>
              <w:top w:val="single" w:color="auto" w:sz="12" w:space="0"/>
              <w:left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tabs>
                <w:tab w:val="left" w:pos="2076"/>
              </w:tabs>
              <w:bidi w:val="0"/>
              <w:jc w:val="both"/>
              <w:rPr>
                <w:rFonts w:hint="default" w:eastAsia="宋体"/>
                <w:lang w:val="en-US" w:eastAsia="zh-CN"/>
              </w:rPr>
            </w:pPr>
            <w:r>
              <w:rPr>
                <w:rFonts w:hint="eastAsia" w:eastAsia="宋体"/>
                <w:lang w:val="en-US" w:eastAsia="zh-CN"/>
              </w:rPr>
              <w:t>四校联合运动会——编码的规则</w:t>
            </w:r>
          </w:p>
        </w:tc>
        <w:tc>
          <w:tcPr>
            <w:tcW w:w="2820" w:type="dxa"/>
            <w:tcBorders>
              <w:top w:val="single" w:color="auto" w:sz="12" w:space="0"/>
              <w:left w:val="single" w:color="auto" w:sz="4" w:space="0"/>
              <w:bottom w:val="single" w:color="auto" w:sz="6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教时</w:t>
            </w:r>
          </w:p>
        </w:tc>
        <w:tc>
          <w:tcPr>
            <w:tcW w:w="2262" w:type="dxa"/>
            <w:tcBorders>
              <w:top w:val="single" w:color="auto" w:sz="12" w:space="0"/>
              <w:left w:val="single" w:color="auto" w:sz="6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1课时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22" w:hRule="atLeast"/>
        </w:trPr>
        <w:tc>
          <w:tcPr>
            <w:tcW w:w="823" w:type="dxa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  <w:tc>
          <w:tcPr>
            <w:tcW w:w="4103" w:type="dxa"/>
            <w:gridSpan w:val="2"/>
            <w:vMerge w:val="continue"/>
            <w:tcBorders>
              <w:left w:val="single" w:color="auto" w:sz="12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rPr>
                <w:rFonts w:ascii="宋体" w:hAnsi="宋体"/>
                <w:szCs w:val="21"/>
              </w:rPr>
            </w:pPr>
          </w:p>
        </w:tc>
        <w:tc>
          <w:tcPr>
            <w:tcW w:w="2820" w:type="dxa"/>
            <w:tcBorders>
              <w:top w:val="single" w:color="auto" w:sz="12" w:space="0"/>
              <w:left w:val="single" w:color="auto" w:sz="4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日期</w:t>
            </w:r>
          </w:p>
        </w:tc>
        <w:tc>
          <w:tcPr>
            <w:tcW w:w="2262" w:type="dxa"/>
            <w:tcBorders>
              <w:top w:val="single" w:color="auto" w:sz="12" w:space="0"/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ind w:firstLine="630" w:firstLineChars="300"/>
              <w:rPr>
                <w:rFonts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6" w:hRule="atLeast"/>
        </w:trPr>
        <w:tc>
          <w:tcPr>
            <w:tcW w:w="4926" w:type="dxa"/>
            <w:gridSpan w:val="3"/>
            <w:tcBorders>
              <w:left w:val="single" w:color="auto" w:sz="12" w:space="0"/>
              <w:bottom w:val="single" w:color="auto" w:sz="12" w:space="0"/>
              <w:right w:val="single" w:color="auto" w:sz="4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360" w:lineRule="auto"/>
              <w:rPr>
                <w:rFonts w:hint="eastAsia" w:ascii="宋体" w:hAnsi="宋体"/>
                <w:b/>
                <w:sz w:val="22"/>
                <w:szCs w:val="22"/>
              </w:rPr>
            </w:pPr>
            <w:r>
              <w:rPr>
                <w:rFonts w:hint="eastAsia" w:ascii="宋体" w:hAnsi="宋体"/>
                <w:b/>
                <w:sz w:val="22"/>
                <w:szCs w:val="22"/>
              </w:rPr>
              <w:t>一、教学目标：</w:t>
            </w:r>
          </w:p>
          <w:p>
            <w:pPr>
              <w:rPr>
                <w:rFonts w:hint="default"/>
              </w:rPr>
            </w:pPr>
            <w:r>
              <w:rPr>
                <w:rFonts w:hint="eastAsia"/>
                <w:lang w:val="en-US" w:eastAsia="zh-CN"/>
              </w:rPr>
              <w:t>1.</w:t>
            </w:r>
            <w:r>
              <w:rPr>
                <w:rFonts w:hint="default"/>
              </w:rPr>
              <w:t>让学生掌握编码的基本原则和规则。</w:t>
            </w:r>
          </w:p>
          <w:p>
            <w:pPr>
              <w:rPr>
                <w:rFonts w:hint="default"/>
              </w:rPr>
            </w:pPr>
            <w:r>
              <w:rPr>
                <w:rFonts w:hint="eastAsia"/>
                <w:lang w:val="en-US" w:eastAsia="zh-CN"/>
              </w:rPr>
              <w:t>2.</w:t>
            </w:r>
            <w:r>
              <w:rPr>
                <w:rFonts w:hint="default"/>
              </w:rPr>
              <w:t>培养学生设计和应用编码规则的能力。</w:t>
            </w:r>
          </w:p>
          <w:p>
            <w:pPr>
              <w:rPr>
                <w:rFonts w:hint="default"/>
              </w:rPr>
            </w:pPr>
            <w:r>
              <w:rPr>
                <w:rFonts w:hint="eastAsia"/>
                <w:lang w:val="en-US" w:eastAsia="zh-CN"/>
              </w:rPr>
              <w:t>3.</w:t>
            </w:r>
            <w:r>
              <w:rPr>
                <w:rFonts w:hint="default"/>
              </w:rPr>
              <w:t>引导学生理解编码规则在信息管理和组织中的重要性。</w:t>
            </w:r>
          </w:p>
          <w:p>
            <w:pPr>
              <w:rPr>
                <w:rFonts w:hint="default"/>
              </w:rPr>
            </w:pPr>
            <w:r>
              <w:rPr>
                <w:rFonts w:hint="eastAsia"/>
                <w:lang w:val="en-US" w:eastAsia="zh-CN"/>
              </w:rPr>
              <w:t>4.</w:t>
            </w:r>
            <w:r>
              <w:rPr>
                <w:rFonts w:hint="default"/>
              </w:rPr>
              <w:t>激发学生对编码规则设计和优化的思考。</w:t>
            </w:r>
          </w:p>
          <w:p>
            <w:pPr>
              <w:rPr>
                <w:rFonts w:hint="default" w:ascii="宋体" w:hAnsi="宋体"/>
                <w:color w:val="000000"/>
                <w:szCs w:val="21"/>
                <w:lang w:val="en-US" w:eastAsia="zh-CN"/>
              </w:rPr>
            </w:pPr>
          </w:p>
        </w:tc>
        <w:tc>
          <w:tcPr>
            <w:tcW w:w="2820" w:type="dxa"/>
            <w:tcBorders>
              <w:top w:val="single" w:color="auto" w:sz="12" w:space="0"/>
              <w:left w:val="single" w:color="auto" w:sz="4" w:space="0"/>
              <w:bottom w:val="single" w:color="auto" w:sz="12" w:space="0"/>
              <w:right w:val="single" w:color="auto" w:sz="6" w:space="0"/>
            </w:tcBorders>
            <w:noWrap w:val="0"/>
            <w:vAlign w:val="center"/>
          </w:tcPr>
          <w:p>
            <w:pPr>
              <w:widowControl/>
              <w:spacing w:line="720" w:lineRule="auto"/>
              <w:ind w:left="210" w:hanging="220" w:hangingChars="100"/>
              <w:jc w:val="center"/>
              <w:rPr>
                <w:rFonts w:hint="eastAsia" w:ascii="宋体" w:hAnsi="宋体" w:eastAsia="宋体" w:cs="Times New Roman"/>
                <w:kern w:val="0"/>
                <w:sz w:val="22"/>
                <w:szCs w:val="22"/>
                <w:lang w:eastAsia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2"/>
                <w:szCs w:val="22"/>
                <w:lang w:eastAsia="en-US"/>
              </w:rPr>
              <w:t>重点</w:t>
            </w:r>
          </w:p>
          <w:p>
            <w:pPr>
              <w:widowControl/>
              <w:spacing w:line="720" w:lineRule="auto"/>
              <w:ind w:left="210" w:hanging="220" w:hangingChars="100"/>
              <w:jc w:val="center"/>
              <w:rPr>
                <w:rFonts w:hint="eastAsia" w:ascii="宋体" w:hAnsi="宋体" w:eastAsia="宋体" w:cs="Times New Roman"/>
                <w:kern w:val="0"/>
                <w:sz w:val="22"/>
                <w:szCs w:val="22"/>
                <w:lang w:eastAsia="en-US"/>
              </w:rPr>
            </w:pPr>
            <w:r>
              <w:rPr>
                <w:rFonts w:hint="eastAsia" w:ascii="宋体" w:hAnsi="宋体" w:eastAsia="宋体" w:cs="Times New Roman"/>
                <w:kern w:val="0"/>
                <w:sz w:val="22"/>
                <w:szCs w:val="22"/>
                <w:lang w:eastAsia="en-US"/>
              </w:rPr>
              <w:t>与</w:t>
            </w:r>
          </w:p>
          <w:p>
            <w:pPr>
              <w:spacing w:line="720" w:lineRule="auto"/>
              <w:ind w:left="210" w:hanging="220" w:hangingChars="100"/>
              <w:jc w:val="center"/>
              <w:rPr>
                <w:rFonts w:hint="eastAsia" w:ascii="宋体" w:hAnsi="宋体" w:eastAsiaTheme="minorEastAsia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 w:cs="Times New Roman"/>
                <w:kern w:val="0"/>
                <w:sz w:val="22"/>
                <w:szCs w:val="22"/>
                <w:lang w:eastAsia="en-US"/>
              </w:rPr>
              <w:t>难 点</w:t>
            </w:r>
          </w:p>
        </w:tc>
        <w:tc>
          <w:tcPr>
            <w:tcW w:w="2262" w:type="dxa"/>
            <w:tcBorders>
              <w:top w:val="single" w:color="auto" w:sz="12" w:space="0"/>
              <w:left w:val="single" w:color="auto" w:sz="6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重点：</w:t>
            </w:r>
          </w:p>
          <w:p>
            <w:pPr>
              <w:rPr>
                <w:rFonts w:hint="default"/>
              </w:rPr>
            </w:pPr>
            <w:r>
              <w:rPr>
                <w:rFonts w:hint="eastAsia"/>
                <w:lang w:val="en-US" w:eastAsia="zh-CN"/>
              </w:rPr>
              <w:t>1.</w:t>
            </w:r>
            <w:r>
              <w:rPr>
                <w:rFonts w:hint="default"/>
              </w:rPr>
              <w:t>掌握顺序编码和分类编码的概念及应用。</w:t>
            </w:r>
          </w:p>
          <w:p>
            <w:pPr>
              <w:rPr>
                <w:rFonts w:hint="default"/>
              </w:rPr>
            </w:pPr>
            <w:r>
              <w:rPr>
                <w:rFonts w:hint="eastAsia"/>
                <w:lang w:val="en-US" w:eastAsia="zh-CN"/>
              </w:rPr>
              <w:t>2.</w:t>
            </w:r>
            <w:r>
              <w:rPr>
                <w:rFonts w:hint="default"/>
              </w:rPr>
              <w:t>学习如何根据实际情况设计有效的编码规则。</w:t>
            </w:r>
          </w:p>
          <w:p>
            <w:pPr>
              <w:rPr>
                <w:rFonts w:hint="default" w:ascii="宋体" w:hAnsi="宋体" w:eastAsia="宋体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难点：</w:t>
            </w:r>
            <w:r>
              <w:rPr>
                <w:rFonts w:hint="default"/>
              </w:rPr>
              <w:t>鼓励学生进行创新思考，设计出既科学又实用的编码规则。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16" w:hRule="atLeast"/>
        </w:trPr>
        <w:tc>
          <w:tcPr>
            <w:tcW w:w="10008" w:type="dxa"/>
            <w:gridSpan w:val="5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教</w:t>
            </w:r>
            <w:r>
              <w:rPr>
                <w:rFonts w:ascii="宋体" w:hAnsi="宋体"/>
                <w:sz w:val="22"/>
                <w:szCs w:val="22"/>
              </w:rPr>
              <w:t xml:space="preserve">   </w:t>
            </w:r>
            <w:r>
              <w:rPr>
                <w:rFonts w:hint="eastAsia" w:ascii="宋体" w:hAnsi="宋体"/>
                <w:sz w:val="22"/>
                <w:szCs w:val="22"/>
              </w:rPr>
              <w:t>学</w:t>
            </w:r>
            <w:r>
              <w:rPr>
                <w:rFonts w:ascii="宋体" w:hAnsi="宋体"/>
                <w:sz w:val="22"/>
                <w:szCs w:val="22"/>
              </w:rPr>
              <w:t xml:space="preserve">   </w:t>
            </w:r>
            <w:r>
              <w:rPr>
                <w:rFonts w:hint="eastAsia" w:ascii="宋体" w:hAnsi="宋体"/>
                <w:sz w:val="22"/>
                <w:szCs w:val="22"/>
              </w:rPr>
              <w:t>过</w:t>
            </w:r>
            <w:r>
              <w:rPr>
                <w:rFonts w:ascii="宋体" w:hAnsi="宋体"/>
                <w:sz w:val="22"/>
                <w:szCs w:val="22"/>
              </w:rPr>
              <w:t xml:space="preserve">   </w:t>
            </w:r>
            <w:r>
              <w:rPr>
                <w:rFonts w:hint="eastAsia" w:ascii="宋体" w:hAnsi="宋体"/>
                <w:sz w:val="22"/>
                <w:szCs w:val="22"/>
              </w:rPr>
              <w:t>程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43" w:hRule="atLeast"/>
        </w:trPr>
        <w:tc>
          <w:tcPr>
            <w:tcW w:w="960" w:type="dxa"/>
            <w:gridSpan w:val="2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活动</w:t>
            </w:r>
          </w:p>
          <w:p>
            <w:pPr>
              <w:adjustRightInd w:val="0"/>
              <w:snapToGrid w:val="0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板块</w:t>
            </w:r>
          </w:p>
        </w:tc>
        <w:tc>
          <w:tcPr>
            <w:tcW w:w="3966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活动内容与呈现方式</w:t>
            </w:r>
          </w:p>
        </w:tc>
        <w:tc>
          <w:tcPr>
            <w:tcW w:w="2820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ascii="宋体" w:hAnsi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学生活动方式</w:t>
            </w:r>
          </w:p>
        </w:tc>
        <w:tc>
          <w:tcPr>
            <w:tcW w:w="2262" w:type="dxa"/>
            <w:tcBorders>
              <w:top w:val="single" w:color="auto" w:sz="12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24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交流方式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601" w:hRule="atLeast"/>
        </w:trPr>
        <w:tc>
          <w:tcPr>
            <w:tcW w:w="960" w:type="dxa"/>
            <w:gridSpan w:val="2"/>
            <w:tcBorders>
              <w:top w:val="single" w:color="auto" w:sz="6" w:space="0"/>
              <w:left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sz w:val="22"/>
                <w:szCs w:val="22"/>
              </w:rPr>
            </w:pPr>
          </w:p>
          <w:p>
            <w:pPr>
              <w:adjustRightInd w:val="0"/>
              <w:snapToGrid w:val="0"/>
              <w:spacing w:line="360" w:lineRule="auto"/>
              <w:rPr>
                <w:rFonts w:hint="eastAsia" w:ascii="宋体" w:hAnsi="宋体"/>
                <w:sz w:val="22"/>
                <w:szCs w:val="22"/>
              </w:rPr>
            </w:pPr>
          </w:p>
          <w:p>
            <w:pPr>
              <w:adjustRightInd w:val="0"/>
              <w:snapToGrid w:val="0"/>
              <w:spacing w:line="360" w:lineRule="auto"/>
              <w:rPr>
                <w:rFonts w:hint="eastAsia" w:ascii="宋体" w:hAnsi="宋体"/>
                <w:sz w:val="22"/>
                <w:szCs w:val="22"/>
              </w:rPr>
            </w:pP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核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心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过</w:t>
            </w:r>
          </w:p>
          <w:p>
            <w:pPr>
              <w:adjustRightInd w:val="0"/>
              <w:snapToGrid w:val="0"/>
              <w:spacing w:line="360" w:lineRule="auto"/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程</w:t>
            </w:r>
          </w:p>
          <w:p>
            <w:pPr>
              <w:adjustRightInd w:val="0"/>
              <w:snapToGrid w:val="0"/>
              <w:spacing w:line="360" w:lineRule="auto"/>
              <w:rPr>
                <w:rFonts w:hint="eastAsia" w:ascii="宋体" w:hAnsi="宋体"/>
                <w:szCs w:val="21"/>
              </w:rPr>
            </w:pPr>
          </w:p>
        </w:tc>
        <w:tc>
          <w:tcPr>
            <w:tcW w:w="3966" w:type="dxa"/>
            <w:tcBorders>
              <w:top w:val="single" w:color="auto" w:sz="6" w:space="0"/>
              <w:left w:val="single" w:color="auto" w:sz="12" w:space="0"/>
              <w:right w:val="single" w:color="auto" w:sz="12" w:space="0"/>
            </w:tcBorders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lang w:val="en-US" w:eastAsia="zh-CN"/>
              </w:rPr>
              <w:t>情境引入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宋体" w:hAnsi="宋体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lang w:val="en-US" w:eastAsia="zh-CN"/>
              </w:rPr>
              <w:t>创设情境：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Chars="0"/>
              <w:textAlignment w:val="auto"/>
              <w:rPr>
                <w:rFonts w:hint="default" w:ascii="宋体" w:hAnsi="宋体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b w:val="0"/>
                <w:bCs w:val="0"/>
                <w:sz w:val="22"/>
                <w:szCs w:val="22"/>
                <w:lang w:val="en-US" w:eastAsia="zh-CN"/>
              </w:rPr>
              <w:t>师：我们学校即将有个大动作，同学们知道是什么吗？我校策划展开四校联合运动会，学校为此新进了一批体育器材，在登记这批器材的过程中，何老师发现了这样一张表。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宋体" w:hAnsi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lang w:val="en-US" w:eastAsia="zh-CN"/>
              </w:rPr>
              <w:t>师生对话交流：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Chars="0"/>
              <w:textAlignment w:val="auto"/>
              <w:rPr>
                <w:rFonts w:hint="eastAsia" w:ascii="宋体" w:hAnsi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师：从这张图中，你能看出这张表中最后一列的数字代表什么样的含义吗?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Chars="0"/>
              <w:textAlignment w:val="auto"/>
              <w:rPr>
                <w:rFonts w:hint="default" w:ascii="宋体" w:hAnsi="宋体"/>
                <w:sz w:val="22"/>
                <w:szCs w:val="22"/>
                <w:lang w:val="en-US" w:eastAsia="zh-CN"/>
              </w:rPr>
            </w:pPr>
            <w:r>
              <w:rPr>
                <w:rFonts w:hint="default" w:ascii="宋体" w:hAnsi="宋体"/>
                <w:sz w:val="22"/>
                <w:szCs w:val="22"/>
                <w:lang w:val="en-US" w:eastAsia="zh-CN"/>
              </w:rPr>
              <w:drawing>
                <wp:inline distT="0" distB="0" distL="114300" distR="114300">
                  <wp:extent cx="2376170" cy="1118235"/>
                  <wp:effectExtent l="0" t="0" r="11430" b="24765"/>
                  <wp:docPr id="4" name="图片 4" descr="1322577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1322577499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170" cy="1118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2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="0" w:leftChars="0" w:firstLine="0" w:firstLineChars="0"/>
              <w:textAlignment w:val="auto"/>
              <w:rPr>
                <w:rFonts w:hint="eastAsia" w:ascii="宋体" w:hAnsi="宋体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lang w:val="en-US" w:eastAsia="zh-CN"/>
              </w:rPr>
              <w:t>揭示主题：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Chars="0"/>
              <w:textAlignment w:val="auto"/>
              <w:rPr>
                <w:rFonts w:hint="eastAsia" w:ascii="宋体" w:hAnsi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师：原来仔细观察，器械的编号每一位都有特殊的含义呢！以垒球的编号为例，10-3-4就是我们上节课所学的编码，我们知道编码需要按照一定的规则进行编排，像货架号+层号+序号的就是我校体育器材编号规则。今天就让我们继续来探究编码的奥秘，了解编码的规则。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ind w:leftChars="0"/>
              <w:textAlignment w:val="auto"/>
              <w:rPr>
                <w:rFonts w:hint="default" w:ascii="宋体" w:hAnsi="宋体"/>
                <w:sz w:val="22"/>
                <w:szCs w:val="22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1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lang w:val="en-US" w:eastAsia="zh-CN"/>
              </w:rPr>
              <w:t>新授过程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eastAsia" w:ascii="宋体" w:hAnsi="宋体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b/>
                <w:bCs/>
                <w:sz w:val="22"/>
                <w:szCs w:val="22"/>
                <w:lang w:val="en-US" w:eastAsia="zh-CN"/>
              </w:rPr>
              <w:t>顺序编码：操场区域号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师：为了迎接这次盛大的活动，我校做了充足的准备，将操场上的区域划分成如图所示，每个学校都有属于自己的区域。请你来说一说，这张图中有编码吗？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360930" cy="1669415"/>
                  <wp:effectExtent l="0" t="0" r="1270" b="6985"/>
                  <wp:docPr id="7" name="图片 7" descr="1227ec58a2ca300eda6ebc99a29e8281(20240923-210232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1227ec58a2ca300eda6ebc99a29e8281(20240923-210232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0930" cy="1669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追问：你知道操场区域号的编码规则吗？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总结：遵循了一定的顺序规则，每一个对象都有一个有序编码。像这样的编码，通常称为顺序编码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提问：生活中，你还见过哪些类似的顺序编码？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教师呈现ppt图示</w:t>
            </w: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分类编码：运动员信息检录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过渡：这张操场区域图中，除了各校区域外，还有一个候场区，它是运动员检录区，由检录员老师根据手中的运动员信息表进行检录，我们一起来看一下这份表格，其中有编码吗？说说你的理由。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教师展示照片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2377440" cy="437515"/>
                  <wp:effectExtent l="0" t="0" r="10160" b="19685"/>
                  <wp:docPr id="8" name="图片 8" descr="12119120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211912040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7440" cy="4375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lang w:val="en-US" w:eastAsia="zh-CN"/>
              </w:rPr>
              <w:t>总结：像身份证这样，根据特定的分类规则编制的编码，我们称为分类编码。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追问：你还知道哪些也是分类编码呢？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教师呈现ppt图示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总结：多数情况下，我们会进行组合编码，例如车牌号，根据车辆类型和使用性质的不同，做出了颜色区分，蓝色主要用于小型客车，绿色用于新能源汽车。再例如我国在公路信息管理过程中，先对普通公路按行政等级、标识号进行分类编码，再对同一标识号的公路进行顺序编码。还有在列车信息管理过程中，先对列车按种类进行分类编码，再对同一种类的列车进行顺序编码。</w:t>
            </w:r>
          </w:p>
          <w:p>
            <w:pPr>
              <w:numPr>
                <w:ilvl w:val="0"/>
                <w:numId w:val="3"/>
              </w:numPr>
              <w:ind w:left="0" w:leftChars="0" w:firstLine="0" w:firstLineChars="0"/>
              <w:rPr>
                <w:rFonts w:hint="eastAsia"/>
                <w:b/>
                <w:bCs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编码练习：为四校运动员编码</w:t>
            </w:r>
          </w:p>
          <w:p>
            <w:pPr>
              <w:numPr>
                <w:ilvl w:val="0"/>
                <w:numId w:val="0"/>
              </w:numPr>
              <w:ind w:leftChars="0"/>
              <w:rPr>
                <w:rFonts w:hint="eastAsia"/>
                <w:b w:val="0"/>
                <w:bCs w:val="0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师：为了更好的展开我们的四校联合运动会，我们需要为庞大的运动员群体进行编码，你觉得我们所收集的运动员身份证信息可以作为运动员的编码吗？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b w:val="0"/>
                <w:bCs w:val="0"/>
                <w:lang w:val="en-US" w:eastAsia="zh-CN"/>
              </w:rPr>
              <w:t>师：那你觉得什么样的规则适合呢？</w:t>
            </w: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师：接下来按照你的想法，在希沃白板中尝试着编一编吧。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收集学生答案，集中点评，再优化。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/>
                <w:b/>
                <w:bCs/>
                <w:lang w:val="en-US" w:eastAsia="zh-CN"/>
              </w:rPr>
              <w:t>三：总结</w:t>
            </w:r>
          </w:p>
          <w:p>
            <w:pPr>
              <w:keepNext w:val="0"/>
              <w:keepLines w:val="0"/>
              <w:pageBreakBefore w:val="0"/>
              <w:widowControl w:val="0"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line="240" w:lineRule="auto"/>
              <w:textAlignment w:val="auto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同学们，今天我们学习了编码规则的重要性。我们了解了顺序编码和分类编码，以及它们如何帮助我们组织和理解信息。我们也探讨了编码长度与信息量的关系，以及如何设计有效的编码。希望你们能够将这些知识应用到实际中，提高信息管理的效率。继续探索编码的奥秘，让它们成为我们解决问题的有力工具。</w:t>
            </w:r>
          </w:p>
        </w:tc>
        <w:tc>
          <w:tcPr>
            <w:tcW w:w="2820" w:type="dxa"/>
            <w:tcBorders>
              <w:top w:val="single" w:color="auto" w:sz="6" w:space="0"/>
              <w:left w:val="single" w:color="auto" w:sz="12" w:space="0"/>
              <w:right w:val="single" w:color="auto" w:sz="12" w:space="0"/>
            </w:tcBorders>
            <w:noWrap w:val="0"/>
            <w:vAlign w:val="top"/>
          </w:tcPr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学生预设：代表了各种器材所在的货架号、层号、序号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学生预设：有，区域号就是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学生预设：按照连续的数字序列进行排列组合。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座位号、班级号、车位号、楼层号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学生观察表格，分组讨论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学生预设：有，身份证就是编码。由省+市+区+出生日期+出生地派出所代码+男双女单+个人信息码组成</w:t>
            </w: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学生预设：车牌号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生：不可以，身份证太长了，不适合作为运动员编号。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学生展开讨论</w:t>
            </w: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学生预设：年级、班级、学号、性别</w:t>
            </w:r>
            <w:bookmarkStart w:id="0" w:name="_GoBack"/>
            <w:bookmarkEnd w:id="0"/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学生补充：学校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学生创作</w:t>
            </w:r>
          </w:p>
        </w:tc>
        <w:tc>
          <w:tcPr>
            <w:tcW w:w="2262" w:type="dxa"/>
            <w:tcBorders>
              <w:top w:val="single" w:color="auto" w:sz="6" w:space="0"/>
              <w:left w:val="single" w:color="auto" w:sz="12" w:space="0"/>
              <w:right w:val="single" w:color="auto" w:sz="12" w:space="0"/>
            </w:tcBorders>
            <w:noWrap w:val="0"/>
            <w:vAlign w:val="top"/>
          </w:tcPr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通过运动会场景导入，在学生已有知识的基础上，发现薛小体育器材登记表的编码规则，激发学生的学习兴趣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利用学生所熟知的运动会项目，创设真实的问题情境，感知编码的规则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 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通过递进式的追问，使学生逐步理清编码的规则和生活中常见的编码类型。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通过制作运动员的编号深切感受到编码需要规则，编码需要建立联系，具有唯一性。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编码的长度与信息量成正比。</w:t>
            </w: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eastAsia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  <w:p>
            <w:pPr>
              <w:rPr>
                <w:rFonts w:hint="default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32" w:hRule="atLeast"/>
        </w:trPr>
        <w:tc>
          <w:tcPr>
            <w:tcW w:w="96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2"/>
                <w:szCs w:val="22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板书</w:t>
            </w:r>
          </w:p>
          <w:p>
            <w:pPr>
              <w:spacing w:line="400" w:lineRule="exact"/>
              <w:jc w:val="center"/>
              <w:rPr>
                <w:rFonts w:hint="eastAsia" w:ascii="宋体" w:hAnsi="宋体"/>
                <w:szCs w:val="21"/>
              </w:rPr>
            </w:pPr>
            <w:r>
              <w:rPr>
                <w:rFonts w:hint="eastAsia" w:ascii="宋体" w:hAnsi="宋体"/>
                <w:sz w:val="22"/>
                <w:szCs w:val="22"/>
              </w:rPr>
              <w:t>设计</w:t>
            </w:r>
          </w:p>
        </w:tc>
        <w:tc>
          <w:tcPr>
            <w:tcW w:w="9048" w:type="dxa"/>
            <w:gridSpan w:val="3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noWrap w:val="0"/>
            <w:vAlign w:val="top"/>
          </w:tcPr>
          <w:p>
            <w:pPr>
              <w:adjustRightInd w:val="0"/>
              <w:snapToGrid w:val="0"/>
              <w:spacing w:line="240" w:lineRule="auto"/>
              <w:jc w:val="center"/>
              <w:rPr>
                <w:rFonts w:hint="eastAsia" w:ascii="宋体" w:hAnsi="宋体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32" w:hRule="atLeast"/>
        </w:trPr>
        <w:tc>
          <w:tcPr>
            <w:tcW w:w="96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作业</w:t>
            </w:r>
          </w:p>
          <w:p>
            <w:pPr>
              <w:spacing w:line="400" w:lineRule="exact"/>
              <w:jc w:val="center"/>
              <w:rPr>
                <w:rFonts w:hint="eastAsia" w:ascii="宋体" w:hAnsi="宋体" w:eastAsia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设计</w:t>
            </w:r>
          </w:p>
        </w:tc>
        <w:tc>
          <w:tcPr>
            <w:tcW w:w="9048" w:type="dxa"/>
            <w:gridSpan w:val="3"/>
            <w:tcBorders>
              <w:top w:val="single" w:color="auto" w:sz="6" w:space="0"/>
              <w:left w:val="single" w:color="auto" w:sz="12" w:space="0"/>
              <w:bottom w:val="single" w:color="auto" w:sz="6" w:space="0"/>
              <w:right w:val="single" w:color="auto" w:sz="12" w:space="0"/>
            </w:tcBorders>
            <w:noWrap w:val="0"/>
            <w:vAlign w:val="top"/>
          </w:tcPr>
          <w:p>
            <w:pPr>
              <w:numPr>
                <w:ilvl w:val="0"/>
                <w:numId w:val="0"/>
              </w:numPr>
              <w:adjustRightInd w:val="0"/>
              <w:snapToGrid w:val="0"/>
              <w:spacing w:line="360" w:lineRule="auto"/>
              <w:jc w:val="left"/>
              <w:rPr>
                <w:rFonts w:hint="default" w:ascii="宋体" w:hAnsi="宋体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932" w:hRule="atLeast"/>
        </w:trPr>
        <w:tc>
          <w:tcPr>
            <w:tcW w:w="960" w:type="dxa"/>
            <w:gridSpan w:val="2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center"/>
          </w:tcPr>
          <w:p>
            <w:pPr>
              <w:spacing w:line="400" w:lineRule="exact"/>
              <w:jc w:val="center"/>
              <w:rPr>
                <w:rFonts w:hint="eastAsia" w:ascii="宋体" w:hAnsi="宋体"/>
                <w:sz w:val="22"/>
                <w:szCs w:val="22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教学</w:t>
            </w:r>
          </w:p>
          <w:p>
            <w:pPr>
              <w:spacing w:line="400" w:lineRule="exact"/>
              <w:jc w:val="center"/>
              <w:rPr>
                <w:rFonts w:hint="default" w:ascii="宋体" w:hAnsi="宋体"/>
                <w:szCs w:val="21"/>
                <w:lang w:val="en-US" w:eastAsia="zh-CN"/>
              </w:rPr>
            </w:pPr>
            <w:r>
              <w:rPr>
                <w:rFonts w:hint="eastAsia" w:ascii="宋体" w:hAnsi="宋体"/>
                <w:sz w:val="22"/>
                <w:szCs w:val="22"/>
                <w:lang w:val="en-US" w:eastAsia="zh-CN"/>
              </w:rPr>
              <w:t>反思</w:t>
            </w:r>
          </w:p>
        </w:tc>
        <w:tc>
          <w:tcPr>
            <w:tcW w:w="9048" w:type="dxa"/>
            <w:gridSpan w:val="3"/>
            <w:tcBorders>
              <w:top w:val="single" w:color="auto" w:sz="6" w:space="0"/>
              <w:left w:val="single" w:color="auto" w:sz="12" w:space="0"/>
              <w:bottom w:val="single" w:color="auto" w:sz="12" w:space="0"/>
              <w:right w:val="single" w:color="auto" w:sz="12" w:space="0"/>
            </w:tcBorders>
            <w:noWrap w:val="0"/>
            <w:vAlign w:val="top"/>
          </w:tcPr>
          <w:p>
            <w:pPr>
              <w:adjustRightInd w:val="0"/>
              <w:snapToGrid w:val="0"/>
              <w:spacing w:line="360" w:lineRule="auto"/>
              <w:jc w:val="both"/>
              <w:rPr>
                <w:rFonts w:hint="eastAsia" w:ascii="宋体" w:hAnsi="宋体"/>
                <w:sz w:val="22"/>
                <w:szCs w:val="22"/>
              </w:rPr>
            </w:pPr>
          </w:p>
          <w:p>
            <w:pPr>
              <w:adjustRightInd w:val="0"/>
              <w:snapToGrid w:val="0"/>
              <w:spacing w:line="360" w:lineRule="auto"/>
              <w:jc w:val="both"/>
              <w:rPr>
                <w:rFonts w:hint="eastAsia" w:ascii="宋体" w:hAnsi="宋体"/>
                <w:szCs w:val="21"/>
              </w:rPr>
            </w:pPr>
          </w:p>
          <w:p>
            <w:pPr>
              <w:adjustRightInd w:val="0"/>
              <w:snapToGrid w:val="0"/>
              <w:spacing w:line="360" w:lineRule="auto"/>
              <w:jc w:val="both"/>
              <w:rPr>
                <w:rFonts w:hint="eastAsia" w:ascii="宋体" w:hAnsi="宋体"/>
                <w:szCs w:val="21"/>
              </w:rPr>
            </w:pPr>
          </w:p>
        </w:tc>
      </w:tr>
    </w:tbl>
    <w:p>
      <w:pPr>
        <w:jc w:val="center"/>
        <w:rPr>
          <w:rFonts w:hint="default"/>
          <w:b/>
          <w:bCs/>
          <w:sz w:val="44"/>
          <w:szCs w:val="44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D4CF8C4"/>
    <w:multiLevelType w:val="singleLevel"/>
    <w:tmpl w:val="0D4CF8C4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abstractNum w:abstractNumId="1">
    <w:nsid w:val="2DBE5A4C"/>
    <w:multiLevelType w:val="singleLevel"/>
    <w:tmpl w:val="2DBE5A4C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38033830"/>
    <w:multiLevelType w:val="singleLevel"/>
    <w:tmpl w:val="38033830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EwOTk1ZmJlNTc2NGE0NGMxYmY2ZTcyYjViZGU3ZDkifQ=="/>
  </w:docVars>
  <w:rsids>
    <w:rsidRoot w:val="F72E019F"/>
    <w:rsid w:val="0D9B1D74"/>
    <w:rsid w:val="2F65A0AA"/>
    <w:rsid w:val="2FBF7B69"/>
    <w:rsid w:val="31A7F3B9"/>
    <w:rsid w:val="3B91A2DC"/>
    <w:rsid w:val="3DFC6769"/>
    <w:rsid w:val="3EB7F98B"/>
    <w:rsid w:val="4D370904"/>
    <w:rsid w:val="4DFE84EE"/>
    <w:rsid w:val="4DFF4901"/>
    <w:rsid w:val="5D77C76F"/>
    <w:rsid w:val="5E75A46E"/>
    <w:rsid w:val="5EFFCC5D"/>
    <w:rsid w:val="5FBC3D66"/>
    <w:rsid w:val="6CFD2A0B"/>
    <w:rsid w:val="6FD788F8"/>
    <w:rsid w:val="75DF7FF0"/>
    <w:rsid w:val="7BC52A3A"/>
    <w:rsid w:val="7DBFF9B2"/>
    <w:rsid w:val="7E952E2F"/>
    <w:rsid w:val="7F6C4CB2"/>
    <w:rsid w:val="7FFF3DF8"/>
    <w:rsid w:val="97F5D13B"/>
    <w:rsid w:val="9BF7C52F"/>
    <w:rsid w:val="BB7B89CF"/>
    <w:rsid w:val="BFBF310A"/>
    <w:rsid w:val="C7F4AEFD"/>
    <w:rsid w:val="D77EB3F4"/>
    <w:rsid w:val="DBFE6B41"/>
    <w:rsid w:val="DDFBC3F8"/>
    <w:rsid w:val="DDFF8646"/>
    <w:rsid w:val="DEDB07B3"/>
    <w:rsid w:val="DFFDCB56"/>
    <w:rsid w:val="DFFFDE9C"/>
    <w:rsid w:val="E67B17CD"/>
    <w:rsid w:val="E7FEF343"/>
    <w:rsid w:val="ED7D289F"/>
    <w:rsid w:val="EDEF80C3"/>
    <w:rsid w:val="EF6FCD4A"/>
    <w:rsid w:val="F2FB879B"/>
    <w:rsid w:val="F72E019F"/>
    <w:rsid w:val="F97814F7"/>
    <w:rsid w:val="FB3ECF07"/>
    <w:rsid w:val="FB6743C2"/>
    <w:rsid w:val="FC7E70D8"/>
    <w:rsid w:val="FCEEC7CB"/>
    <w:rsid w:val="FF7D3F0E"/>
    <w:rsid w:val="FFBE2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2258</Words>
  <Characters>2297</Characters>
  <Lines>0</Lines>
  <Paragraphs>0</Paragraphs>
  <TotalTime>31</TotalTime>
  <ScaleCrop>false</ScaleCrop>
  <LinksUpToDate>false</LinksUpToDate>
  <CharactersWithSpaces>2320</CharactersWithSpaces>
  <Application>WPS Office_6.4.0.8550_F1E327BC-269C-435d-A152-05C5408002CA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2024-09-20T06:56:00Z</dcterms:created>
  <dc:creator>_Summer `</dc:creator>
  <cp:lastModifiedBy>Helina</cp:lastModifiedBy>
  <dcterms:modified xsi:type="dcterms:W3CDTF">2024-09-26T16:16:48Z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2052-6.4.0.8550</vt:lpwstr>
  </property>
  <property fmtid="{D5CDD505-2E9C-101B-9397-08002B2CF9AE}" pid="3" name="ICV">
    <vt:lpwstr>B2F9A36CD8B0C5F27078E966EABCFC27_43</vt:lpwstr>
  </property>
</Properties>
</file>