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E42A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大班健康活动《有趣的小石块》课堂观测分析</w:t>
      </w:r>
    </w:p>
    <w:p w14:paraId="21BC18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eastAsia="zh-CN"/>
        </w:rPr>
        <w:t>雕庄中心幼儿园</w:t>
      </w:r>
      <w:r>
        <w:rPr>
          <w:rFonts w:hint="eastAsia" w:ascii="楷体" w:hAnsi="楷体" w:eastAsia="楷体" w:cs="楷体"/>
          <w:sz w:val="24"/>
          <w:szCs w:val="24"/>
          <w:lang w:val="en-US" w:eastAsia="zh-CN"/>
        </w:rPr>
        <w:t xml:space="preserve">   赵维</w:t>
      </w:r>
    </w:p>
    <w:p w14:paraId="651C6E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赵维老师执教的大班健康活动《有趣的小石块》是基于“跳跃”主题动作下，幼儿尝试立定跳远，并不断挑战更长的距离。其目标旨在游戏中通过“立定跳远”，增强弹跳力，提高灵敏、协调等身体素质。同时掌握两脚同时起跳和轻巧落地的跳跃方法，在落地缓冲后保持身体平衡。以及在游戏中愿意不断挑战自我，通过坚持不懈的努力获得成功体验。本次活动循序渐进，由热身游戏导入后，分为三个层次：自由跳跃小石块（个体挑战）、看谁跳得远（新技能挑战）、挖红薯游戏（团体挑战）。</w:t>
      </w:r>
      <w:r>
        <w:rPr>
          <w:rFonts w:hint="eastAsia" w:ascii="楷体" w:hAnsi="楷体" w:eastAsia="楷体" w:cs="楷体"/>
          <w:sz w:val="24"/>
          <w:szCs w:val="24"/>
          <w:lang w:val="en-US" w:eastAsia="zh-CN"/>
        </w:rPr>
        <w:t>对标幼儿园领域关键经验，“跳”是属于基本动作发展，而对于大班幼儿来说，立定跳远的目标经验是幼儿立定跳远时，跳距不少于90厘米。同时动作步骤应该经历预备——起跳——落地。</w:t>
      </w:r>
      <w:r>
        <w:rPr>
          <w:rFonts w:hint="eastAsia" w:ascii="宋体" w:hAnsi="宋体" w:eastAsia="宋体" w:cs="宋体"/>
          <w:sz w:val="24"/>
          <w:szCs w:val="24"/>
          <w:lang w:val="en-US" w:eastAsia="zh-CN"/>
        </w:rPr>
        <w:t>本次活动目标达成度一般，整个活动虽然能充分调动幼儿的参与积极性，让幼儿沉浸在有趣的游戏情境中，大部分幼儿掌握了立定跳远的动作技能，也体验到了团队协作，与同伴游戏的快乐。但在跳距的把控上，以及运动负荷量来看，还有所完善的地方</w:t>
      </w:r>
      <w:bookmarkStart w:id="0" w:name="_GoBack"/>
      <w:bookmarkEnd w:id="0"/>
      <w:r>
        <w:rPr>
          <w:rFonts w:hint="eastAsia" w:ascii="宋体" w:hAnsi="宋体" w:eastAsia="宋体" w:cs="宋体"/>
          <w:sz w:val="24"/>
          <w:szCs w:val="24"/>
          <w:lang w:val="en-US" w:eastAsia="zh-CN"/>
        </w:rPr>
        <w:t>。</w:t>
      </w:r>
    </w:p>
    <w:p w14:paraId="7303D10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学生活动分析</w:t>
      </w:r>
    </w:p>
    <w:p w14:paraId="28B9557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drawing>
          <wp:inline distT="0" distB="0" distL="114300" distR="114300">
            <wp:extent cx="4826000" cy="2743200"/>
            <wp:effectExtent l="4445" t="4445" r="8255" b="52705"/>
            <wp:docPr id="4" name="图表 3" descr="7b0a202020202263686172745265734964223a202232303437363735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82E72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次课堂观测共收集到7名教师的观测数据，结合均值呈现以上饼图。活动中，观测的目标幼儿没有出现躺的动作，走是占比20%，剧烈运动状态是12%，而占据大部分比重的还是31%的坐以及37%的站立频次。由此可见，整个健康活动的有效运动时间还不够，造成这种情况的原因可能有两方面：一是教师讲解示范过多，以及提供的游戏材料不适合幼儿的连续性运动。另一方面是对于大班幼儿来说，立定跳远的关键经验不再像小班时候那样随意，而是需要通过屈膝、摆臂配合双脚蹬地，跳出更远的距离。再加上“挖红薯”游戏的介入，幼儿需要将“红薯”完全送回来以后，才能进入下一次的跳远过程，所以在教师观察记录的时候，可能出现“站立”情况。</w:t>
      </w:r>
    </w:p>
    <w:p w14:paraId="239B26B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课堂环境分析</w:t>
      </w:r>
    </w:p>
    <w:p w14:paraId="1CD4EA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drawing>
          <wp:inline distT="0" distB="0" distL="114300" distR="114300">
            <wp:extent cx="4826000" cy="2743200"/>
            <wp:effectExtent l="4445" t="4445" r="8255" b="52705"/>
            <wp:docPr id="5" name="图表 4" descr="7b0a202020202263686172745265734964223a202232303437363735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BF1AE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从“课堂环境”饼图来看：游戏活动占比25%、技能练习22%、知识讲解32%、体能活动8%、管理占比13%，其他占比为0%。从各部分占比可以看出，幼儿健康活动课堂的构成较为多元，涵盖了多个重要方面。其中，知识讲解所占比例最高，达到32%，这说明在课堂上教师用了过多的时间来传授经验，而忽略了幼儿的实操体验。游戏活动占比25%，仅次于知识讲解，说明教师意识到通过游戏的趣味性来吸引幼儿参与健康活动的重要性，借助游戏让幼儿在轻松愉快的氛围中体验与健康相关的行为、动作等，同时也有助于培养幼儿对立定跳远的兴趣以及促进其综合能力发展，如合作能力、身体协调性等。技能练习占22%，也占据了一定的比重，反映出教师重视幼儿“立定跳远”技能的培养，让幼儿通过反复练习将知识转化为实际的体育技能。而体能活动仅占8%，相对来说占比较低，这可能意味着在本次健康活动中，专门用于全身性的、强度较大的体能锻炼时间不是很多，更多是将体能锻炼融合在游戏活动或技能练习等环节中进行间接实现。</w:t>
      </w:r>
    </w:p>
    <w:p w14:paraId="5C56F4A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干预分析</w:t>
      </w:r>
    </w:p>
    <w:p w14:paraId="20A5FE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drawing>
          <wp:inline distT="0" distB="0" distL="114300" distR="114300">
            <wp:extent cx="4826000" cy="2743200"/>
            <wp:effectExtent l="4445" t="4445" r="8255" b="52705"/>
            <wp:docPr id="6" name="图表 5" descr="7b0a202020202263686172745265734964223a202232303437363735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17439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教师干预方面：促进课内的身体活动占比是91%，对身体活动没有促进的占比是9%，而促进课外的身体活动是0%。由此可见，教师的大部分干预还是成功有效的，对幼儿课内的身体发展起到了正向的促进作用。教师在本次活动中还是起到了关键的引领作用。不过，我们也不能忽视对课外活动的促进，我们要尝试举一反三，对其他领域也要有辐射作用。</w:t>
      </w:r>
    </w:p>
    <w:p w14:paraId="2B614EC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推进措施</w:t>
      </w:r>
    </w:p>
    <w:p w14:paraId="3AEAEE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活动参与幼儿为30人，课时长度28分钟，4名目标观测幼儿共计观察84次。结合SOFIT观测表，根据手环数据显示，整节活动的幼儿运动负荷达标率为33.3%，仅10人达标。从三方面饼图的数据分析来看，幼儿运动负荷达标率较低的原因在于幼儿站立时间较长、教师讲解较多、体能一块没有舒展开。在今后的活动中，我们可以采取以下推进措施：</w:t>
      </w:r>
    </w:p>
    <w:p w14:paraId="4B0D9E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14"/>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游戏化改造活动内容</w:t>
      </w:r>
    </w:p>
    <w:p w14:paraId="447922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将原本枯燥的体能锻炼或技能学习环节转化为有趣的游戏形式。例如，把跑步练习变成“小动物接力赛”游戏，幼儿们分成小组，分别扮演不同的小动物，模仿小动物的奔跑姿势进行接力跑步，这样能激发幼儿参与的积极性，让他们在欢快的氛围中主动增加运动量，而不是被动地完成任务式锻炼。</w:t>
      </w:r>
    </w:p>
    <w:p w14:paraId="4B3177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14"/>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设置小组合作挑战</w:t>
      </w:r>
    </w:p>
    <w:p w14:paraId="197676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设计需要幼儿分组合作完成的挑战活动，比如搭建 “体能城堡”，每组幼儿要一起搬运、摆放各种轻便的体育器材（如泡沫积木、软式哑铃等）来搭建城堡，过程中幼儿们需要不断走动、传递器材，不仅锻炼了身体，还增强了团队协作能力，同时由于是小组共同参与，幼儿更愿意投入精力和时间，使得整体运动时长和强度都能得到提升。</w:t>
      </w:r>
    </w:p>
    <w:p w14:paraId="5468CE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14"/>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3.教师讲解突出重点</w:t>
      </w:r>
    </w:p>
    <w:p w14:paraId="5E3931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师提前梳理好活动要传达的关键知识点，避免冗长、繁琐的讲解，着重把核心内容清晰明了地传授给幼儿。比如涉及到某个体育动作技能（如跳绳技巧），只聚焦讲解最关键的手部、脚部动作配合要点，舍去一些过于理论化或者不重要的衍生内容，节省时间用于幼儿实际练习和运动。</w:t>
      </w:r>
    </w:p>
    <w:p w14:paraId="2A09E5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p>
    <w:p w14:paraId="6566C0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p>
    <w:p w14:paraId="0519B9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8C7CE"/>
    <w:multiLevelType w:val="singleLevel"/>
    <w:tmpl w:val="F4B8C7C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ZmQ3ZjlhOTY0ZmIxN2RlOTc5M2QzOTY0ZDI1Y2MifQ=="/>
  </w:docVars>
  <w:rsids>
    <w:rsidRoot w:val="00000000"/>
    <w:rsid w:val="02963DFC"/>
    <w:rsid w:val="02A12ECC"/>
    <w:rsid w:val="04E15802"/>
    <w:rsid w:val="05A86320"/>
    <w:rsid w:val="064F49ED"/>
    <w:rsid w:val="09FC4E8C"/>
    <w:rsid w:val="0C6014BE"/>
    <w:rsid w:val="117B2B3A"/>
    <w:rsid w:val="11A007F3"/>
    <w:rsid w:val="143F436A"/>
    <w:rsid w:val="14C447F8"/>
    <w:rsid w:val="16F2564D"/>
    <w:rsid w:val="178A7F7B"/>
    <w:rsid w:val="187327BD"/>
    <w:rsid w:val="191A0E8B"/>
    <w:rsid w:val="1A247F4C"/>
    <w:rsid w:val="1B3501FE"/>
    <w:rsid w:val="1B5C39DD"/>
    <w:rsid w:val="1BDA1FAF"/>
    <w:rsid w:val="1DD261D8"/>
    <w:rsid w:val="21426F85"/>
    <w:rsid w:val="224A27E1"/>
    <w:rsid w:val="251B2213"/>
    <w:rsid w:val="2A005E7B"/>
    <w:rsid w:val="2C3B46EC"/>
    <w:rsid w:val="2F0106CB"/>
    <w:rsid w:val="32EC3440"/>
    <w:rsid w:val="381D5E11"/>
    <w:rsid w:val="381E409C"/>
    <w:rsid w:val="38D806EF"/>
    <w:rsid w:val="39050DB8"/>
    <w:rsid w:val="41472C1B"/>
    <w:rsid w:val="41BD4B28"/>
    <w:rsid w:val="427D3D24"/>
    <w:rsid w:val="42AB0E36"/>
    <w:rsid w:val="43920387"/>
    <w:rsid w:val="46641814"/>
    <w:rsid w:val="46737CA9"/>
    <w:rsid w:val="47867568"/>
    <w:rsid w:val="49E62540"/>
    <w:rsid w:val="4EC2357B"/>
    <w:rsid w:val="4F674123"/>
    <w:rsid w:val="500F0A42"/>
    <w:rsid w:val="510016E4"/>
    <w:rsid w:val="545729B8"/>
    <w:rsid w:val="56F03521"/>
    <w:rsid w:val="5748483A"/>
    <w:rsid w:val="57827D4C"/>
    <w:rsid w:val="5A2E5F69"/>
    <w:rsid w:val="5A8B6F17"/>
    <w:rsid w:val="5B092532"/>
    <w:rsid w:val="5BDA2717"/>
    <w:rsid w:val="5C0F1DCA"/>
    <w:rsid w:val="5E28378F"/>
    <w:rsid w:val="5E5D506F"/>
    <w:rsid w:val="62563570"/>
    <w:rsid w:val="62593D9F"/>
    <w:rsid w:val="634D2F55"/>
    <w:rsid w:val="6359074B"/>
    <w:rsid w:val="661A3845"/>
    <w:rsid w:val="66E808FF"/>
    <w:rsid w:val="686C06CF"/>
    <w:rsid w:val="69531548"/>
    <w:rsid w:val="6B2B565B"/>
    <w:rsid w:val="6DD16F56"/>
    <w:rsid w:val="6E8C1058"/>
    <w:rsid w:val="6EF54E4F"/>
    <w:rsid w:val="74AF5AA0"/>
    <w:rsid w:val="77D71596"/>
    <w:rsid w:val="7D44147C"/>
    <w:rsid w:val="7E06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paragraph" w:customStyle="1" w:styleId="6">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1"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b="1"/>
              <a:t>学生活动</a:t>
            </a:r>
            <a:endParaRPr b="1"/>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5"/>
          <c:y val="0.31087962962963"/>
          <c:w val="0.942105263157895"/>
          <c:h val="0.659027777777778"/>
        </c:manualLayout>
      </c:layout>
      <c:pie3DChart>
        <c:varyColors val="1"/>
        <c:ser>
          <c:idx val="0"/>
          <c:order val="0"/>
          <c:spPr>
            <a:ln w="19050" cap="rnd">
              <a:solidFill>
                <a:schemeClr val="tx1">
                  <a:lumMod val="85000"/>
                  <a:lumOff val="15000"/>
                </a:schemeClr>
              </a:solidFill>
              <a:round/>
            </a:ln>
            <a:effectLst/>
          </c:spPr>
          <c:explosion val="0"/>
          <c:dPt>
            <c:idx val="0"/>
            <c:bubble3D val="0"/>
            <c:spPr>
              <a:solidFill>
                <a:schemeClr val="accent1"/>
              </a:solidFill>
              <a:ln w="19050" cap="rnd">
                <a:solidFill>
                  <a:schemeClr val="tx1">
                    <a:lumMod val="85000"/>
                    <a:lumOff val="15000"/>
                  </a:schemeClr>
                </a:solidFill>
                <a:round/>
              </a:ln>
              <a:effectLst/>
            </c:spPr>
          </c:dPt>
          <c:dPt>
            <c:idx val="1"/>
            <c:bubble3D val="0"/>
            <c:spPr>
              <a:solidFill>
                <a:schemeClr val="accent2"/>
              </a:solidFill>
              <a:ln w="19050" cap="rnd">
                <a:solidFill>
                  <a:schemeClr val="tx1">
                    <a:lumMod val="85000"/>
                    <a:lumOff val="15000"/>
                  </a:schemeClr>
                </a:solidFill>
                <a:round/>
              </a:ln>
              <a:effectLst/>
            </c:spPr>
          </c:dPt>
          <c:dPt>
            <c:idx val="2"/>
            <c:bubble3D val="0"/>
            <c:spPr>
              <a:solidFill>
                <a:schemeClr val="accent3"/>
              </a:solidFill>
              <a:ln w="19050" cap="rnd">
                <a:solidFill>
                  <a:schemeClr val="tx1">
                    <a:lumMod val="85000"/>
                    <a:lumOff val="15000"/>
                  </a:schemeClr>
                </a:solidFill>
                <a:round/>
              </a:ln>
              <a:effectLst/>
            </c:spPr>
          </c:dPt>
          <c:dPt>
            <c:idx val="3"/>
            <c:bubble3D val="0"/>
            <c:spPr>
              <a:solidFill>
                <a:schemeClr val="accent4"/>
              </a:solidFill>
              <a:ln w="19050" cap="rnd">
                <a:solidFill>
                  <a:schemeClr val="tx1">
                    <a:lumMod val="85000"/>
                    <a:lumOff val="15000"/>
                  </a:schemeClr>
                </a:solidFill>
                <a:round/>
              </a:ln>
              <a:effectLst/>
            </c:spPr>
          </c:dPt>
          <c:dPt>
            <c:idx val="4"/>
            <c:bubble3D val="0"/>
            <c:spPr>
              <a:solidFill>
                <a:schemeClr val="accent5"/>
              </a:solidFill>
              <a:ln w="19050" cap="rnd">
                <a:solidFill>
                  <a:schemeClr val="tx1">
                    <a:lumMod val="85000"/>
                    <a:lumOff val="15000"/>
                  </a:schemeClr>
                </a:solidFill>
                <a:round/>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工作表.xls]Sheet1'!$A$2:$A$6</c:f>
              <c:strCache>
                <c:ptCount val="5"/>
                <c:pt idx="0">
                  <c:v>躺</c:v>
                </c:pt>
                <c:pt idx="1">
                  <c:v>坐</c:v>
                </c:pt>
                <c:pt idx="2">
                  <c:v>站</c:v>
                </c:pt>
                <c:pt idx="3">
                  <c:v>走</c:v>
                </c:pt>
                <c:pt idx="4">
                  <c:v>剧烈的</c:v>
                </c:pt>
              </c:strCache>
            </c:strRef>
          </c:cat>
          <c:val>
            <c:numRef>
              <c:f>'[新建 XLS 工作表.xls]Sheet1'!$B$2:$B$6</c:f>
              <c:numCache>
                <c:formatCode>General</c:formatCode>
                <c:ptCount val="5"/>
                <c:pt idx="0">
                  <c:v>0</c:v>
                </c:pt>
                <c:pt idx="1">
                  <c:v>26</c:v>
                </c:pt>
                <c:pt idx="2">
                  <c:v>31</c:v>
                </c:pt>
                <c:pt idx="3">
                  <c:v>17</c:v>
                </c:pt>
                <c:pt idx="4">
                  <c:v>10</c:v>
                </c:pt>
              </c:numCache>
            </c:numRef>
          </c:val>
        </c:ser>
        <c:dLbls>
          <c:showLegendKey val="0"/>
          <c:showVal val="0"/>
          <c:showCatName val="1"/>
          <c:showSerName val="0"/>
          <c:showPercent val="1"/>
          <c:showBubbleSize val="0"/>
        </c:dLbls>
      </c:pie3DChart>
      <c:spPr>
        <a:noFill/>
        <a:ln>
          <a:noFill/>
        </a:ln>
        <a:effectLst/>
      </c:spPr>
    </c:plotArea>
    <c:legend>
      <c:legendPos val="t"/>
      <c:legendEntry>
        <c:idx val="0"/>
        <c:txPr>
          <a:bodyPr rot="0" spcFirstLastPara="0" vertOverflow="ellipsis" vert="horz" wrap="square" anchor="ctr" anchorCtr="1"/>
          <a:lstStyle/>
          <a:p>
            <a:pPr>
              <a:defRPr lang="zh-CN" sz="9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1"/>
          <a:lstStyle/>
          <a:p>
            <a:pPr>
              <a:defRPr lang="zh-CN" sz="9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3"/>
        <c:txPr>
          <a:bodyPr rot="0" spcFirstLastPara="0" vertOverflow="ellipsis" vert="horz" wrap="square" anchor="ctr" anchorCtr="1"/>
          <a:lstStyle/>
          <a:p>
            <a:pPr>
              <a:defRPr lang="zh-CN" sz="9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4"/>
        <c:txPr>
          <a:bodyPr rot="0" spcFirstLastPara="0" vertOverflow="ellipsis" vert="horz" wrap="square" anchor="ctr" anchorCtr="1"/>
          <a:lstStyle/>
          <a:p>
            <a:pPr>
              <a:defRPr lang="zh-CN" sz="9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dc6fbf06-cb44-40c9-a007-70b7d88393cf}"/>
      </c:ext>
    </c:extLst>
  </c:chart>
  <c:spPr>
    <a:solidFill>
      <a:schemeClr val="bg1"/>
    </a:solidFill>
    <a:ln w="9525"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b="1"/>
              <a:t>课堂环境</a:t>
            </a:r>
            <a:endParaRPr b="1"/>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ln w="19050" cap="rnd">
              <a:solidFill>
                <a:schemeClr val="tx1">
                  <a:lumMod val="85000"/>
                  <a:lumOff val="15000"/>
                </a:schemeClr>
              </a:solidFill>
              <a:round/>
            </a:ln>
            <a:effectLst/>
          </c:spPr>
          <c:explosion val="0"/>
          <c:dPt>
            <c:idx val="0"/>
            <c:bubble3D val="0"/>
            <c:spPr>
              <a:solidFill>
                <a:schemeClr val="accent1"/>
              </a:solidFill>
              <a:ln w="19050" cap="rnd">
                <a:solidFill>
                  <a:schemeClr val="tx1">
                    <a:lumMod val="85000"/>
                    <a:lumOff val="15000"/>
                  </a:schemeClr>
                </a:solidFill>
                <a:round/>
              </a:ln>
              <a:effectLst/>
            </c:spPr>
          </c:dPt>
          <c:dPt>
            <c:idx val="1"/>
            <c:bubble3D val="0"/>
            <c:spPr>
              <a:solidFill>
                <a:schemeClr val="accent2"/>
              </a:solidFill>
              <a:ln w="19050" cap="rnd">
                <a:solidFill>
                  <a:schemeClr val="tx1">
                    <a:lumMod val="85000"/>
                    <a:lumOff val="15000"/>
                  </a:schemeClr>
                </a:solidFill>
                <a:round/>
              </a:ln>
              <a:effectLst/>
            </c:spPr>
          </c:dPt>
          <c:dPt>
            <c:idx val="2"/>
            <c:bubble3D val="0"/>
            <c:spPr>
              <a:solidFill>
                <a:schemeClr val="accent3"/>
              </a:solidFill>
              <a:ln w="19050" cap="rnd">
                <a:solidFill>
                  <a:schemeClr val="tx1">
                    <a:lumMod val="85000"/>
                    <a:lumOff val="15000"/>
                  </a:schemeClr>
                </a:solidFill>
                <a:round/>
              </a:ln>
              <a:effectLst/>
            </c:spPr>
          </c:dPt>
          <c:dPt>
            <c:idx val="3"/>
            <c:bubble3D val="0"/>
            <c:spPr>
              <a:solidFill>
                <a:schemeClr val="accent4"/>
              </a:solidFill>
              <a:ln w="19050" cap="rnd">
                <a:solidFill>
                  <a:schemeClr val="tx1">
                    <a:lumMod val="85000"/>
                    <a:lumOff val="15000"/>
                  </a:schemeClr>
                </a:solidFill>
                <a:round/>
              </a:ln>
              <a:effectLst/>
            </c:spPr>
          </c:dPt>
          <c:dPt>
            <c:idx val="4"/>
            <c:bubble3D val="0"/>
            <c:spPr>
              <a:solidFill>
                <a:schemeClr val="accent5"/>
              </a:solidFill>
              <a:ln w="19050" cap="rnd">
                <a:solidFill>
                  <a:schemeClr val="tx1">
                    <a:lumMod val="85000"/>
                    <a:lumOff val="15000"/>
                  </a:schemeClr>
                </a:solidFill>
                <a:round/>
              </a:ln>
              <a:effectLst/>
            </c:spPr>
          </c:dPt>
          <c:dPt>
            <c:idx val="5"/>
            <c:bubble3D val="0"/>
            <c:spPr>
              <a:solidFill>
                <a:schemeClr val="accent6"/>
              </a:solidFill>
              <a:ln w="19050" cap="rnd">
                <a:solidFill>
                  <a:schemeClr val="tx1">
                    <a:lumMod val="85000"/>
                    <a:lumOff val="15000"/>
                  </a:schemeClr>
                </a:solidFill>
                <a:round/>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工作表.xls]Sheet1'!$A$19:$A$24</c:f>
              <c:strCache>
                <c:ptCount val="6"/>
                <c:pt idx="0">
                  <c:v>管理</c:v>
                </c:pt>
                <c:pt idx="1">
                  <c:v>知识</c:v>
                </c:pt>
                <c:pt idx="2">
                  <c:v>体能</c:v>
                </c:pt>
                <c:pt idx="3">
                  <c:v>技能</c:v>
                </c:pt>
                <c:pt idx="4">
                  <c:v>游戏</c:v>
                </c:pt>
                <c:pt idx="5">
                  <c:v>其他</c:v>
                </c:pt>
              </c:strCache>
            </c:strRef>
          </c:cat>
          <c:val>
            <c:numRef>
              <c:f>'[新建 XLS 工作表.xls]Sheet1'!$B$19:$B$24</c:f>
              <c:numCache>
                <c:formatCode>General</c:formatCode>
                <c:ptCount val="6"/>
                <c:pt idx="0">
                  <c:v>11</c:v>
                </c:pt>
                <c:pt idx="1">
                  <c:v>27</c:v>
                </c:pt>
                <c:pt idx="2">
                  <c:v>7</c:v>
                </c:pt>
                <c:pt idx="3">
                  <c:v>19</c:v>
                </c:pt>
                <c:pt idx="4">
                  <c:v>21</c:v>
                </c:pt>
                <c:pt idx="5">
                  <c:v>0</c:v>
                </c:pt>
              </c:numCache>
            </c:numRef>
          </c:val>
        </c:ser>
        <c:dLbls>
          <c:showLegendKey val="0"/>
          <c:showVal val="0"/>
          <c:showCatName val="1"/>
          <c:showSerName val="0"/>
          <c:showPercent val="1"/>
          <c:showBubbleSize val="0"/>
        </c:dLbls>
      </c:pie3DChart>
      <c:spPr>
        <a:noFill/>
        <a:ln>
          <a:noFill/>
        </a:ln>
        <a:effectLst/>
      </c:spPr>
    </c:plotArea>
    <c:legend>
      <c:legendPos val="t"/>
      <c:legendEntry>
        <c:idx val="0"/>
        <c:txPr>
          <a:bodyPr rot="0" spcFirstLastPara="0" vertOverflow="ellipsis" vert="horz" wrap="square" anchor="ctr" anchorCtr="1"/>
          <a:lstStyle/>
          <a:p>
            <a:pPr>
              <a:defRPr lang="zh-CN" sz="9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1"/>
          <a:lstStyle/>
          <a:p>
            <a:pPr>
              <a:defRPr lang="zh-CN" sz="9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3"/>
        <c:txPr>
          <a:bodyPr rot="0" spcFirstLastPara="0" vertOverflow="ellipsis" vert="horz" wrap="square" anchor="ctr" anchorCtr="1"/>
          <a:lstStyle/>
          <a:p>
            <a:pPr>
              <a:defRPr lang="zh-CN" sz="9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4"/>
        <c:txPr>
          <a:bodyPr rot="0" spcFirstLastPara="0" vertOverflow="ellipsis" vert="horz" wrap="square" anchor="ctr" anchorCtr="1"/>
          <a:lstStyle/>
          <a:p>
            <a:pPr>
              <a:defRPr lang="zh-CN" sz="9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5"/>
        <c:txPr>
          <a:bodyPr rot="0" spcFirstLastPara="0" vertOverflow="ellipsis" vert="horz" wrap="square" anchor="ctr" anchorCtr="1"/>
          <a:lstStyle/>
          <a:p>
            <a:pPr>
              <a:defRPr lang="zh-CN" sz="9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6fb6ccab-6bec-41c5-b1c1-4f9c4466f449}"/>
      </c:ext>
    </c:extLst>
  </c:chart>
  <c:spPr>
    <a:solidFill>
      <a:schemeClr val="bg1"/>
    </a:solidFill>
    <a:ln w="9525"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b="1"/>
              <a:t>教师干预</a:t>
            </a:r>
            <a:endParaRPr b="1"/>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ln w="19050" cap="rnd">
              <a:solidFill>
                <a:schemeClr val="tx1">
                  <a:lumMod val="85000"/>
                  <a:lumOff val="15000"/>
                </a:schemeClr>
              </a:solidFill>
              <a:round/>
            </a:ln>
            <a:effectLst/>
          </c:spPr>
          <c:explosion val="0"/>
          <c:dPt>
            <c:idx val="0"/>
            <c:bubble3D val="0"/>
            <c:spPr>
              <a:solidFill>
                <a:schemeClr val="accent1"/>
              </a:solidFill>
              <a:ln w="19050" cap="rnd">
                <a:solidFill>
                  <a:schemeClr val="tx1">
                    <a:lumMod val="85000"/>
                    <a:lumOff val="15000"/>
                  </a:schemeClr>
                </a:solidFill>
                <a:round/>
              </a:ln>
              <a:effectLst/>
            </c:spPr>
          </c:dPt>
          <c:dPt>
            <c:idx val="1"/>
            <c:bubble3D val="0"/>
            <c:spPr>
              <a:solidFill>
                <a:schemeClr val="accent2"/>
              </a:solidFill>
              <a:ln w="19050" cap="rnd">
                <a:solidFill>
                  <a:schemeClr val="tx1">
                    <a:lumMod val="85000"/>
                    <a:lumOff val="15000"/>
                  </a:schemeClr>
                </a:solidFill>
                <a:round/>
              </a:ln>
              <a:effectLst/>
            </c:spPr>
          </c:dPt>
          <c:dPt>
            <c:idx val="2"/>
            <c:bubble3D val="0"/>
            <c:spPr>
              <a:solidFill>
                <a:schemeClr val="accent3"/>
              </a:solidFill>
              <a:ln w="19050" cap="rnd">
                <a:solidFill>
                  <a:schemeClr val="tx1">
                    <a:lumMod val="85000"/>
                    <a:lumOff val="15000"/>
                  </a:schemeClr>
                </a:solidFill>
                <a:round/>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工作表.xls]Sheet1'!$A$37:$A$39</c:f>
              <c:strCache>
                <c:ptCount val="3"/>
                <c:pt idx="0">
                  <c:v>促进课内</c:v>
                </c:pt>
                <c:pt idx="1">
                  <c:v>促进课外</c:v>
                </c:pt>
                <c:pt idx="2">
                  <c:v>没有促进</c:v>
                </c:pt>
              </c:strCache>
            </c:strRef>
          </c:cat>
          <c:val>
            <c:numRef>
              <c:f>'[新建 XLS 工作表.xls]Sheet1'!$B$37:$B$39</c:f>
              <c:numCache>
                <c:formatCode>General</c:formatCode>
                <c:ptCount val="3"/>
                <c:pt idx="0">
                  <c:v>77</c:v>
                </c:pt>
                <c:pt idx="1">
                  <c:v>0</c:v>
                </c:pt>
                <c:pt idx="2">
                  <c:v>8</c:v>
                </c:pt>
              </c:numCache>
            </c:numRef>
          </c:val>
        </c:ser>
        <c:dLbls>
          <c:showLegendKey val="0"/>
          <c:showVal val="0"/>
          <c:showCatName val="1"/>
          <c:showSerName val="0"/>
          <c:showPercent val="1"/>
          <c:showBubbleSize val="0"/>
        </c:dLbls>
      </c:pie3DChart>
      <c:spPr>
        <a:noFill/>
        <a:ln>
          <a:noFill/>
        </a:ln>
        <a:effectLst/>
      </c:spPr>
    </c:plotArea>
    <c:legend>
      <c:legendPos val="t"/>
      <c:legendEntry>
        <c:idx val="0"/>
        <c:txPr>
          <a:bodyPr rot="0" spcFirstLastPara="0" vertOverflow="ellipsis" vert="horz" wrap="square" anchor="ctr" anchorCtr="1"/>
          <a:lstStyle/>
          <a:p>
            <a:pPr>
              <a:defRPr lang="zh-CN" sz="9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1"/>
          <a:lstStyle/>
          <a:p>
            <a:pPr>
              <a:defRPr lang="zh-CN" sz="9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b02fe2b8-a182-48d3-8682-170ff4cdc343}"/>
      </c:ext>
    </c:extLst>
  </c:chart>
  <c:spPr>
    <a:solidFill>
      <a:schemeClr val="bg1"/>
    </a:solidFill>
    <a:ln w="9525"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可爱风">
    <a:dk1>
      <a:srgbClr val="000000"/>
    </a:dk1>
    <a:lt1>
      <a:srgbClr val="FFFFFF"/>
    </a:lt1>
    <a:dk2>
      <a:srgbClr val="44546A"/>
    </a:dk2>
    <a:lt2>
      <a:srgbClr val="E7E6E6"/>
    </a:lt2>
    <a:accent1>
      <a:srgbClr val="8ECBEE"/>
    </a:accent1>
    <a:accent2>
      <a:srgbClr val="FFD873"/>
    </a:accent2>
    <a:accent3>
      <a:srgbClr val="F279A3"/>
    </a:accent3>
    <a:accent4>
      <a:srgbClr val="F8B39E"/>
    </a:accent4>
    <a:accent5>
      <a:srgbClr val="B8E2DD"/>
    </a:accent5>
    <a:accent6>
      <a:srgbClr val="DEDC6A"/>
    </a:accent6>
    <a:hlink>
      <a:srgbClr val="0026E5"/>
    </a:hlink>
    <a:folHlink>
      <a:srgbClr val="7E1FA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可爱风">
    <a:dk1>
      <a:srgbClr val="000000"/>
    </a:dk1>
    <a:lt1>
      <a:srgbClr val="FFFFFF"/>
    </a:lt1>
    <a:dk2>
      <a:srgbClr val="44546A"/>
    </a:dk2>
    <a:lt2>
      <a:srgbClr val="E7E6E6"/>
    </a:lt2>
    <a:accent1>
      <a:srgbClr val="8ECBEE"/>
    </a:accent1>
    <a:accent2>
      <a:srgbClr val="FFD873"/>
    </a:accent2>
    <a:accent3>
      <a:srgbClr val="F279A3"/>
    </a:accent3>
    <a:accent4>
      <a:srgbClr val="F8B39E"/>
    </a:accent4>
    <a:accent5>
      <a:srgbClr val="B8E2DD"/>
    </a:accent5>
    <a:accent6>
      <a:srgbClr val="DEDC6A"/>
    </a:accent6>
    <a:hlink>
      <a:srgbClr val="0026E5"/>
    </a:hlink>
    <a:folHlink>
      <a:srgbClr val="7E1FA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可爱风">
    <a:dk1>
      <a:srgbClr val="000000"/>
    </a:dk1>
    <a:lt1>
      <a:srgbClr val="FFFFFF"/>
    </a:lt1>
    <a:dk2>
      <a:srgbClr val="44546A"/>
    </a:dk2>
    <a:lt2>
      <a:srgbClr val="E7E6E6"/>
    </a:lt2>
    <a:accent1>
      <a:srgbClr val="8ECBEE"/>
    </a:accent1>
    <a:accent2>
      <a:srgbClr val="FFD873"/>
    </a:accent2>
    <a:accent3>
      <a:srgbClr val="F279A3"/>
    </a:accent3>
    <a:accent4>
      <a:srgbClr val="F8B39E"/>
    </a:accent4>
    <a:accent5>
      <a:srgbClr val="B8E2DD"/>
    </a:accent5>
    <a:accent6>
      <a:srgbClr val="DEDC6A"/>
    </a:accent6>
    <a:hlink>
      <a:srgbClr val="0026E5"/>
    </a:hlink>
    <a:folHlink>
      <a:srgbClr val="7E1FA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4</Pages>
  <Words>1862</Words>
  <Characters>1907</Characters>
  <Lines>0</Lines>
  <Paragraphs>0</Paragraphs>
  <TotalTime>62</TotalTime>
  <ScaleCrop>false</ScaleCrop>
  <LinksUpToDate>false</LinksUpToDate>
  <CharactersWithSpaces>1911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孙达</cp:lastModifiedBy>
  <dcterms:modified xsi:type="dcterms:W3CDTF">2024-12-30T00:36:58Z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B2C99C6FA4714566B116D8A32D0A0E78_12</vt:lpwstr>
  </property>
  <property fmtid="{D5CDD505-2E9C-101B-9397-08002B2CF9AE}" pid="4" name="KSOTemplateDocerSaveRecord">
    <vt:lpwstr>eyJoZGlkIjoiNDNhZmQ3ZjlhOTY0ZmIxN2RlOTc5M2QzOTY0ZDI1Y2MiLCJ1c2VySWQiOiIzMjU4OTA4MTQifQ==</vt:lpwstr>
  </property>
</Properties>
</file>