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7388B">
      <w:pPr>
        <w:jc w:val="center"/>
        <w:outlineLvl w:val="3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4E70199">
      <w:pPr>
        <w:jc w:val="center"/>
        <w:outlineLvl w:val="3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大班健康活动《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勇敢的小兔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》课堂观测分析</w:t>
      </w:r>
    </w:p>
    <w:p w14:paraId="5E26A0C0">
      <w:pPr>
        <w:jc w:val="center"/>
        <w:outlineLvl w:val="3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雕庄中心幼儿园  王珏</w:t>
      </w:r>
    </w:p>
    <w:p w14:paraId="5B79E6F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由王珏老师指导的大班健康活动《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勇敢的小兔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》，此活动的目标如下：</w:t>
      </w:r>
    </w:p>
    <w:p w14:paraId="79D9572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掌握单手肩上投掷的动作要领，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锻炼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Hans"/>
        </w:rPr>
        <w:t>肢力量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提高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手眼协调性。</w:t>
      </w:r>
    </w:p>
    <w:p w14:paraId="416CC01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游戏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的过程中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能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注意保持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安全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距离，避免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砸到他人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，提高保护意识。</w:t>
      </w:r>
    </w:p>
    <w:p w14:paraId="748FD8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3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活动中能够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遵守游戏规则，体验游戏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与挑战的乐趣。</w:t>
      </w:r>
    </w:p>
    <w:p w14:paraId="1ACD76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3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活动分为4个层次：</w:t>
      </w:r>
    </w:p>
    <w:p w14:paraId="3E6482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热身活动、</w:t>
      </w:r>
      <w:r>
        <w:rPr>
          <w:rStyle w:val="5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个体挑战</w:t>
      </w:r>
      <w:r>
        <w:rPr>
          <w:rStyle w:val="5"/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、</w:t>
      </w:r>
      <w:r>
        <w:rPr>
          <w:rStyle w:val="5"/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团体</w:t>
      </w:r>
      <w:r>
        <w:rPr>
          <w:rStyle w:val="5"/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挑战、</w:t>
      </w:r>
      <w:r>
        <w:rPr>
          <w:rStyle w:val="5"/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庆祝胜利，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放松运动，收拾地上的材料，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"/>
        </w:rPr>
        <w:t>活动目标达成度高。</w:t>
      </w:r>
    </w:p>
    <w:p w14:paraId="3668B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根据《幼儿园领域关键经验与教育建议》本次活动涉及的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关键经验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有：</w:t>
      </w:r>
    </w:p>
    <w:p w14:paraId="467DD3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大班健康领域中的</w:t>
      </w:r>
    </w:p>
    <w:p w14:paraId="6E9485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跑中的追逐跑：幼儿能与他人玩追逐跑的游戏。</w:t>
      </w:r>
    </w:p>
    <w:p w14:paraId="54277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力量与耐力中的投掷：幼儿能单手将沙包向前投掷5米左右。</w:t>
      </w:r>
    </w:p>
    <w:p w14:paraId="49F3D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控制与平衡中的躲闪：幼儿能灵活躲避他人踢过来的球或扔过来的沙包。</w:t>
      </w:r>
    </w:p>
    <w:p w14:paraId="6AC20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为了更好的反思与改进，笔者结合5份sofit记录表的数据，通过计算平均值，从学生活动、课堂环境与教师干预三个方面作详情分析。以下为整体数据：</w:t>
      </w:r>
      <w:bookmarkStart w:id="0" w:name="_GoBack"/>
      <w:bookmarkEnd w:id="0"/>
    </w:p>
    <w:p w14:paraId="296F3D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一、学生活动分析</w:t>
      </w:r>
    </w:p>
    <w:p w14:paraId="42A44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饼图：</w:t>
      </w:r>
    </w:p>
    <w:p w14:paraId="0F5183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 w14:paraId="336AF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830445" cy="2743200"/>
            <wp:effectExtent l="4445" t="4445" r="22860" b="14605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63D3D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描述：</w:t>
      </w:r>
    </w:p>
    <w:p w14:paraId="4258B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由图可见学生活动中排在第一位的是站占60%，第二位的是剧烈的23%，第三位的是走占17%，躺和坐在整个课堂活动中没有出现。</w:t>
      </w:r>
    </w:p>
    <w:p w14:paraId="60CE4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分析优势：</w:t>
      </w:r>
    </w:p>
    <w:p w14:paraId="6DE73B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投掷与躲闪是非常适合大班幼儿的活动方式，也是很有挑战的活动。在活动中可以发展幼儿的肢体协调和灵敏能力，同时也能培养幼儿的合作能力。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本次游戏活动是围绕“投掷”开展的，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幼儿从自主探索发现投掷技巧——尝试要领获取而投掷经验——拓展形式丰富投掷方式开展的系列探索活动。</w:t>
      </w:r>
    </w:p>
    <w:p w14:paraId="212066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学生活动“站”的情况主要集中在第一环节：幼儿自由探索投掷方式和第二环节：打倒大灰狼的城墙上，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在观察过程中，我注意到了幼儿探索投准的过程，幼儿能够根据目标的位置和距离来调整投掷力度和角度，使球更容易命中目标。随着游戏的进行，幼儿逐渐掌握了正确的投掷动作，准确性也有所提高。</w:t>
      </w:r>
    </w:p>
    <w:p w14:paraId="3A6C84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二、课堂环境分析</w:t>
      </w:r>
    </w:p>
    <w:p w14:paraId="74A193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饼图：</w:t>
      </w:r>
    </w:p>
    <w:p w14:paraId="67BD0C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193030" cy="3418840"/>
            <wp:effectExtent l="4445" t="4445" r="22225" b="5715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E8E4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描述：由图可见课堂环境中排在第一位的是技能练习占32%，第二位的是知识占26%，第三位的是游戏活动占23%，第四位的是管理占10%，第五位的是体能活动占9%。</w:t>
      </w:r>
    </w:p>
    <w:p w14:paraId="6032A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分析优势：</w:t>
      </w:r>
    </w:p>
    <w:p w14:paraId="10B3E5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教师以“兔妈妈”的角色进入游戏，通过有目前的引导，提出发散性的问题引发幼儿自己思考解决问题，大大激发了幼儿参与活动的主动性和积极性。</w:t>
      </w:r>
    </w:p>
    <w:p w14:paraId="18ACAA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占比最大32%的技能练习，主要集中在环节一与环节二之中，有老师对投掷动作的讲解过程，有幼儿自我探索投掷过程，有幼儿与幼儿之间的模仿学习过程等。本节活动始终以游戏情境贯穿其中，幼儿从低高度的投掷——高高度的投掷——移动投掷的游戏训练，体验到了三个不同维度的投掷练习，他们的</w:t>
      </w:r>
      <w:r>
        <w:rPr>
          <w:rFonts w:hint="eastAsia" w:ascii="宋体" w:hAnsi="宋体" w:eastAsia="宋体" w:cs="宋体"/>
          <w:bCs/>
          <w:sz w:val="24"/>
          <w:szCs w:val="24"/>
        </w:rPr>
        <w:t>动作的协调性、灵活性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得到了</w:t>
      </w:r>
      <w:r>
        <w:rPr>
          <w:rFonts w:hint="eastAsia" w:ascii="宋体" w:hAnsi="宋体" w:eastAsia="宋体" w:cs="宋体"/>
          <w:bCs/>
          <w:sz w:val="24"/>
          <w:szCs w:val="24"/>
        </w:rPr>
        <w:t>提高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环节由易到难循序渐进地培养了幼儿的投准、投远以及躲闪的能力，活动中幼儿不仅发展运动技能，还培养了他们的团队合作精神和自信心。打跑大灰狼的游戏情境加入，引发了幼儿之间的合作游戏、互动比赛、相互商讨、协商角色，从而促使幼儿社会性交往得到一定发展。</w:t>
      </w:r>
    </w:p>
    <w:p w14:paraId="5CCAC0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三、干预分析</w:t>
      </w:r>
    </w:p>
    <w:p w14:paraId="77C84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饼图：</w:t>
      </w:r>
    </w:p>
    <w:p w14:paraId="5FAD27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21605" cy="2733675"/>
            <wp:effectExtent l="4445" t="4445" r="12700" b="62230"/>
            <wp:docPr id="6" name="图表 5" descr="7b0a202020202263686172745265734964223a20223230343732323036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CBA42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描述：</w:t>
      </w:r>
    </w:p>
    <w:p w14:paraId="4A1BA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由图可见干预排在第一位的是促进课内的身体活动/体能占77%，第二位的是对身体活动/体能没有促进占23%，促进课外的身体活动/体能没有出现。</w:t>
      </w:r>
    </w:p>
    <w:p w14:paraId="686E5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分析优势：</w:t>
      </w:r>
    </w:p>
    <w:p w14:paraId="3E5B7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《3~6岁儿童学习与发展指南》中指出要发展幼儿动作的协调性和灵活性，多鼓励幼儿进行跑跳、钻爬、攀登、投掷、拍球等活动。投掷是重要、基本的动作之一，也是日常生活中较实用的身体活动技能。幼儿参与投挪活动，不仅能增强上肢和腰、背等部位的肌肉力量，提高上肢关节的柔韧性和灵活性，促进动作协调性、准确性的发展，还能有效提升对于掷物空间和时机的把握能力。</w:t>
      </w:r>
    </w:p>
    <w:p w14:paraId="4D8693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四、推进措施（反思）</w:t>
      </w:r>
    </w:p>
    <w:p w14:paraId="15C9E9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我</w:t>
      </w:r>
      <w:r>
        <w:rPr>
          <w:rFonts w:hint="eastAsia" w:ascii="宋体" w:hAnsi="宋体" w:eastAsia="宋体" w:cs="宋体"/>
          <w:bCs/>
          <w:sz w:val="24"/>
          <w:szCs w:val="24"/>
        </w:rPr>
        <w:t>根据幼儿的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年龄</w:t>
      </w:r>
      <w:r>
        <w:rPr>
          <w:rFonts w:hint="eastAsia" w:ascii="宋体" w:hAnsi="宋体" w:eastAsia="宋体" w:cs="宋体"/>
          <w:bCs/>
          <w:sz w:val="24"/>
          <w:szCs w:val="24"/>
        </w:rPr>
        <w:t>特点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和本班幼儿的运动情况</w:t>
      </w:r>
      <w:r>
        <w:rPr>
          <w:rFonts w:hint="eastAsia" w:ascii="宋体" w:hAnsi="宋体" w:eastAsia="宋体" w:cs="宋体"/>
          <w:bCs/>
          <w:sz w:val="24"/>
          <w:szCs w:val="24"/>
        </w:rPr>
        <w:t>组织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了本次健康活动，通过</w:t>
      </w:r>
      <w:r>
        <w:rPr>
          <w:rFonts w:hint="eastAsia" w:ascii="宋体" w:hAnsi="宋体" w:eastAsia="宋体" w:cs="宋体"/>
          <w:bCs/>
          <w:sz w:val="24"/>
          <w:szCs w:val="24"/>
        </w:rPr>
        <w:t>生动有趣、形式多样的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游戏</w:t>
      </w:r>
      <w:r>
        <w:rPr>
          <w:rFonts w:hint="eastAsia" w:ascii="宋体" w:hAnsi="宋体" w:eastAsia="宋体" w:cs="宋体"/>
          <w:bCs/>
          <w:sz w:val="24"/>
          <w:szCs w:val="24"/>
        </w:rPr>
        <w:t>活动，吸引幼儿主动参与。活动中我以“兔妈妈”的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角色</w:t>
      </w:r>
      <w:r>
        <w:rPr>
          <w:rFonts w:hint="eastAsia" w:ascii="宋体" w:hAnsi="宋体" w:eastAsia="宋体" w:cs="宋体"/>
          <w:bCs/>
          <w:sz w:val="24"/>
          <w:szCs w:val="24"/>
        </w:rPr>
        <w:t>身份拉进与孩子的距离，“兔宝宝”们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快速的</w:t>
      </w:r>
      <w:r>
        <w:rPr>
          <w:rFonts w:hint="eastAsia" w:ascii="宋体" w:hAnsi="宋体" w:eastAsia="宋体" w:cs="宋体"/>
          <w:bCs/>
          <w:sz w:val="24"/>
          <w:szCs w:val="24"/>
        </w:rPr>
        <w:t>融入到了游戏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情境</w:t>
      </w:r>
      <w:r>
        <w:rPr>
          <w:rFonts w:hint="eastAsia" w:ascii="宋体" w:hAnsi="宋体" w:eastAsia="宋体" w:cs="宋体"/>
          <w:bCs/>
          <w:sz w:val="24"/>
          <w:szCs w:val="24"/>
        </w:rPr>
        <w:t>中来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Cs/>
          <w:sz w:val="24"/>
          <w:szCs w:val="24"/>
        </w:rPr>
        <w:t>根据幼儿的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兴趣</w:t>
      </w:r>
      <w:r>
        <w:rPr>
          <w:rFonts w:hint="eastAsia" w:ascii="宋体" w:hAnsi="宋体" w:eastAsia="宋体" w:cs="宋体"/>
          <w:bCs/>
          <w:sz w:val="24"/>
          <w:szCs w:val="24"/>
        </w:rPr>
        <w:t>点，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我借助3个游戏环节对幼儿单手过肩投掷能力进行训练，幼儿从自由探索投掷方式——打倒大灰狼的城墙——追逐大灰狼始终以游戏情境贯穿其中，幼儿从低高度的投掷——高高度的投掷——移动投掷的游戏训练，幼儿</w:t>
      </w:r>
      <w:r>
        <w:rPr>
          <w:rFonts w:hint="eastAsia" w:ascii="宋体" w:hAnsi="宋体" w:eastAsia="宋体" w:cs="宋体"/>
          <w:bCs/>
          <w:sz w:val="24"/>
          <w:szCs w:val="24"/>
        </w:rPr>
        <w:t>动作的协调性、灵活性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得到了</w:t>
      </w:r>
      <w:r>
        <w:rPr>
          <w:rFonts w:hint="eastAsia" w:ascii="宋体" w:hAnsi="宋体" w:eastAsia="宋体" w:cs="宋体"/>
          <w:bCs/>
          <w:sz w:val="24"/>
          <w:szCs w:val="24"/>
        </w:rPr>
        <w:t>提高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Cs/>
          <w:sz w:val="24"/>
          <w:szCs w:val="24"/>
        </w:rPr>
        <w:t>在练习的过程中，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我引导</w:t>
      </w:r>
      <w:r>
        <w:rPr>
          <w:rFonts w:hint="eastAsia" w:ascii="宋体" w:hAnsi="宋体" w:eastAsia="宋体" w:cs="宋体"/>
          <w:bCs/>
          <w:sz w:val="24"/>
          <w:szCs w:val="24"/>
        </w:rPr>
        <w:t>幼儿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自主游戏，从而激发</w:t>
      </w:r>
      <w:r>
        <w:rPr>
          <w:rFonts w:hint="eastAsia" w:ascii="宋体" w:hAnsi="宋体" w:eastAsia="宋体" w:cs="宋体"/>
          <w:bCs/>
          <w:sz w:val="24"/>
          <w:szCs w:val="24"/>
        </w:rPr>
        <w:t>幼儿坚强、勇敢、不怕困难的意志品质和主动、乐观、合作的态度。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3~6岁幼儿发展指南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指出，大班幼儿上学期投掷距离为5m，今天的游戏活动中我观察到，大部分孩子投掷能力还是不错的，小部分幼儿的投掷能力还需加强训练，在后续的活动中要关注他们的能力发展。</w:t>
      </w:r>
    </w:p>
    <w:p w14:paraId="5B480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 w14:paraId="2E4EA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p w14:paraId="0A6ECD39">
      <w:pPr>
        <w:jc w:val="both"/>
        <w:outlineLvl w:val="3"/>
        <w:rPr>
          <w:rFonts w:hint="default" w:ascii="宋体" w:hAnsi="宋体" w:eastAsia="宋体" w:cs="Times New Roman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58986B3C"/>
    <w:rsid w:val="0A641905"/>
    <w:rsid w:val="0AED7096"/>
    <w:rsid w:val="1C2D0463"/>
    <w:rsid w:val="2ED97121"/>
    <w:rsid w:val="2F884123"/>
    <w:rsid w:val="58986B3C"/>
    <w:rsid w:val="5A024535"/>
    <w:rsid w:val="70241C27"/>
    <w:rsid w:val="7AC7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78619\Desktop\&#35838;&#22530;&#35266;&#27979;\&#24037;&#20316;&#31807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78619\Desktop\&#35838;&#22530;&#35266;&#27979;\&#24037;&#20316;&#31807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78619\Desktop\&#35838;&#22530;&#35266;&#27979;\&#24037;&#20316;&#3180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学生活动</a:t>
            </a:r>
          </a:p>
        </c:rich>
      </c:tx>
      <c:layout>
        <c:manualLayout>
          <c:xMode val="edge"/>
          <c:yMode val="edge"/>
          <c:x val="0.4875"/>
          <c:y val="0.017361111111111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0.0611842105263158"/>
                  <c:y val="0.062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[工作簿.xlsx]Sheet1!$A$2:$A$6</c:f>
              <c:strCache>
                <c:ptCount val="5"/>
                <c:pt idx="0">
                  <c:v>躺</c:v>
                </c:pt>
                <c:pt idx="1">
                  <c:v>坐</c:v>
                </c:pt>
                <c:pt idx="2">
                  <c:v>站</c:v>
                </c:pt>
                <c:pt idx="3">
                  <c:v>走</c:v>
                </c:pt>
                <c:pt idx="4">
                  <c:v>剧烈的</c:v>
                </c:pt>
              </c:strCache>
            </c:strRef>
          </c:cat>
          <c:val>
            <c:numRef>
              <c:f>[工作簿.xlsx]Sheet1!$B$2:$B$6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525</c:v>
                </c:pt>
                <c:pt idx="3">
                  <c:v>153</c:v>
                </c:pt>
                <c:pt idx="4">
                  <c:v>200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课堂环境</a:t>
            </a:r>
          </a:p>
        </c:rich>
      </c:tx>
      <c:layout>
        <c:manualLayout>
          <c:xMode val="edge"/>
          <c:yMode val="edge"/>
          <c:x val="0.427784577723378"/>
          <c:y val="0.022288261515601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315758568998088"/>
                  <c:y val="0.13568356969296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66786879953258"/>
                  <c:y val="-0.102707340695807"/>
                </c:manualLayout>
              </c:layout>
              <c:tx>
                <c:rich>
                  <a:bodyPr rot="0" spcFirstLastPara="0" vertOverflow="ellipsis" vert="horz" wrap="square" lIns="38100" tIns="19050" rIns="38100" bIns="19050" anchor="t" anchorCtr="0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/>
                      <a:t>体能活动（F）9%</a:t>
                    </a:r>
                    <a:endParaRPr sz="90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187148102815177"/>
                      <c:h val="0.12444279346211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"/>
                  <c:y val="0.016716196136701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t" anchorCtr="0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[工作簿.xlsx]Sheet1!$A$9:$A$14</c:f>
              <c:strCache>
                <c:ptCount val="6"/>
                <c:pt idx="0">
                  <c:v>管理（M）</c:v>
                </c:pt>
                <c:pt idx="1">
                  <c:v>知识（K）</c:v>
                </c:pt>
                <c:pt idx="2">
                  <c:v>体能活动（F）</c:v>
                </c:pt>
                <c:pt idx="3">
                  <c:v>技能练习（S）</c:v>
                </c:pt>
                <c:pt idx="4">
                  <c:v>游戏活动（G）</c:v>
                </c:pt>
                <c:pt idx="5">
                  <c:v>其他（O）</c:v>
                </c:pt>
              </c:strCache>
            </c:strRef>
          </c:cat>
          <c:val>
            <c:numRef>
              <c:f>[工作簿.xlsx]Sheet1!$B$9:$B$14</c:f>
              <c:numCache>
                <c:formatCode>General</c:formatCode>
                <c:ptCount val="6"/>
                <c:pt idx="0">
                  <c:v>92</c:v>
                </c:pt>
                <c:pt idx="1">
                  <c:v>232</c:v>
                </c:pt>
                <c:pt idx="2">
                  <c:v>79</c:v>
                </c:pt>
                <c:pt idx="3">
                  <c:v>277</c:v>
                </c:pt>
                <c:pt idx="4">
                  <c:v>198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05018359853121"/>
          <c:y val="0.37667161961367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baseline="0">
                <a:solidFill>
                  <a:schemeClr val="tx1"/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微软雅黑" panose="020B0503020204020204" pitchFamily="34" charset="-122"/>
                <a:sym typeface="微软雅黑" panose="020B0503020204020204" pitchFamily="34" charset="-122"/>
              </a:defRPr>
            </a:pPr>
            <a:r>
              <a:rPr>
                <a:solidFill>
                  <a:schemeClr val="tx1"/>
                </a:solidFill>
              </a:rPr>
              <a:t>干预</a:t>
            </a:r>
            <a:endParaRPr>
              <a:solidFill>
                <a:schemeClr val="tx1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50"/>
      <c:rotY val="28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gradFill>
                <a:gsLst>
                  <a:gs pos="0">
                    <a:schemeClr val="accent1">
                      <a:shade val="76667"/>
                      <a:lumMod val="40000"/>
                      <a:lumOff val="60000"/>
                    </a:schemeClr>
                  </a:gs>
                  <a:gs pos="90000">
                    <a:schemeClr val="accent1">
                      <a:shade val="76667"/>
                    </a:schemeClr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1">
                        <a:shade val="76667"/>
                      </a:schemeClr>
                    </a:gs>
                    <a:gs pos="100000">
                      <a:schemeClr val="accent1">
                        <a:shade val="76667"/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0">
                    <a:schemeClr val="accent2">
                      <a:shade val="76667"/>
                      <a:lumMod val="40000"/>
                      <a:lumOff val="60000"/>
                    </a:schemeClr>
                  </a:gs>
                  <a:gs pos="90000">
                    <a:schemeClr val="accent2">
                      <a:shade val="76667"/>
                    </a:schemeClr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2">
                        <a:shade val="76667"/>
                      </a:schemeClr>
                    </a:gs>
                    <a:gs pos="100000">
                      <a:schemeClr val="accent2">
                        <a:shade val="76667"/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0">
                    <a:schemeClr val="accent3">
                      <a:shade val="76667"/>
                      <a:lumMod val="40000"/>
                      <a:lumOff val="60000"/>
                    </a:schemeClr>
                  </a:gs>
                  <a:gs pos="90000">
                    <a:schemeClr val="accent3">
                      <a:shade val="76667"/>
                    </a:schemeClr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3">
                        <a:shade val="76667"/>
                      </a:schemeClr>
                    </a:gs>
                    <a:gs pos="100000">
                      <a:schemeClr val="accent3">
                        <a:shade val="76667"/>
                        <a:lumMod val="75000"/>
                      </a:schemeClr>
                    </a:gs>
                  </a:gsLst>
                  <a:lin ang="5400000" scaled="1"/>
                </a:gradFill>
              </a:ln>
              <a:effectLst/>
            </c:spPr>
          </c:dPt>
          <c:dLbls>
            <c:dLbl>
              <c:idx val="0"/>
              <c:layout/>
              <c:tx>
                <c:rich>
                  <a:bodyPr rot="0" spcFirstLastPara="0" vertOverflow="ellipsis" vert="horz" wrap="square" lIns="0" tIns="19050" rIns="0" bIns="19050" anchor="ctr" anchorCtr="1" forceAA="0"/>
                  <a:lstStyle/>
                  <a:p>
                    <a:pPr defTabSz="914400">
                      <a:defRPr lang="zh-CN" sz="1000" b="0" i="0" u="none" strike="noStrike" kern="1200" spc="0" baseline="0">
                        <a:solidFill>
                          <a:schemeClr val="tx1"/>
                        </a:solidFill>
                        <a:latin typeface="微软雅黑" panose="020B0503020204020204" pitchFamily="34" charset="-122"/>
                        <a:ea typeface="微软雅黑" panose="020B0503020204020204" pitchFamily="34" charset="-122"/>
                        <a:cs typeface="微软雅黑" panose="020B0503020204020204" pitchFamily="34" charset="-122"/>
                        <a:sym typeface="微软雅黑" panose="020B0503020204020204" pitchFamily="34" charset="-122"/>
                      </a:defRPr>
                    </a:pPr>
                    <a:r>
                      <a:rPr>
                        <a:solidFill>
                          <a:schemeClr val="tx1"/>
                        </a:solidFill>
                      </a:rPr>
                      <a:t>促进课内的身体活动/体能（I）77%</a:t>
                    </a:r>
                    <a:endParaRPr>
                      <a:solidFill>
                        <a:schemeClr val="tx1"/>
                      </a:solidFill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0" tIns="19050" rIns="0" bIns="19050" anchor="ctr" anchorCtr="1" forceAA="0"/>
                <a:lstStyle/>
                <a:p>
                  <a:pPr>
                    <a:defRPr lang="zh-CN" sz="1000" b="0" i="0" u="none" strike="noStrike" kern="1200" spc="0" baseline="0">
                      <a:solidFill>
                        <a:schemeClr val="tx1"/>
                      </a:solidFill>
                      <a:latin typeface="微软雅黑" panose="020B0503020204020204" pitchFamily="34" charset="-122"/>
                      <a:ea typeface="微软雅黑" panose="020B0503020204020204" pitchFamily="34" charset="-122"/>
                      <a:cs typeface="微软雅黑" panose="020B0503020204020204" pitchFamily="34" charset="-122"/>
                      <a:sym typeface="微软雅黑" panose="020B0503020204020204" pitchFamily="34" charset="-122"/>
                    </a:defRPr>
                  </a:pPr>
                </a:p>
              </c:txPr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0" tIns="19050" rIns="0" bIns="19050" anchor="ctr" anchorCtr="1" forceAA="0"/>
                <a:lstStyle/>
                <a:p>
                  <a:pPr>
                    <a:defRPr lang="zh-CN" sz="1000" b="0" i="0" u="none" strike="noStrike" kern="1200" spc="0" baseline="0">
                      <a:solidFill>
                        <a:schemeClr val="tx1"/>
                      </a:solidFill>
                      <a:latin typeface="微软雅黑" panose="020B0503020204020204" pitchFamily="34" charset="-122"/>
                      <a:ea typeface="微软雅黑" panose="020B0503020204020204" pitchFamily="34" charset="-122"/>
                      <a:cs typeface="微软雅黑" panose="020B0503020204020204" pitchFamily="34" charset="-122"/>
                      <a:sym typeface="微软雅黑" panose="020B0503020204020204" pitchFamily="34" charset="-122"/>
                    </a:defRPr>
                  </a:pPr>
                </a:p>
              </c:txPr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0529519172245892"/>
                  <c:y val="0.184668989547038"/>
                </c:manualLayout>
              </c:layout>
              <c:tx>
                <c:rich>
                  <a:bodyPr rot="0" spcFirstLastPara="0" vertOverflow="ellipsis" vert="horz" wrap="square" lIns="0" tIns="19050" rIns="0" bIns="19050" anchor="ctr" anchorCtr="1" forceAA="0"/>
                  <a:lstStyle/>
                  <a:p>
                    <a:pPr defTabSz="914400">
                      <a:defRPr lang="zh-CN" sz="1000" b="0" i="0" u="none" strike="noStrike" kern="1200" spc="0" baseline="0">
                        <a:solidFill>
                          <a:schemeClr val="tx1"/>
                        </a:solidFill>
                        <a:latin typeface="微软雅黑" panose="020B0503020204020204" pitchFamily="34" charset="-122"/>
                        <a:ea typeface="微软雅黑" panose="020B0503020204020204" pitchFamily="34" charset="-122"/>
                        <a:cs typeface="微软雅黑" panose="020B0503020204020204" pitchFamily="34" charset="-122"/>
                        <a:sym typeface="微软雅黑" panose="020B0503020204020204" pitchFamily="34" charset="-122"/>
                      </a:defRPr>
                    </a:pPr>
                    <a:r>
                      <a:rPr>
                        <a:solidFill>
                          <a:schemeClr val="tx1"/>
                        </a:solidFill>
                      </a:rPr>
                      <a:t>对身体活动/体能没有促进（N）23%</a:t>
                    </a:r>
                    <a:endParaRPr>
                      <a:solidFill>
                        <a:schemeClr val="tx1"/>
                      </a:solidFill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0" tIns="19050" rIns="0" bIns="19050" anchor="ctr" anchorCtr="1" forceAA="0"/>
                <a:lstStyle/>
                <a:p>
                  <a:pPr>
                    <a:defRPr lang="zh-CN" sz="1000" b="0" i="0" u="none" strike="noStrike" kern="1200" spc="0" baseline="0">
                      <a:solidFill>
                        <a:schemeClr val="tx1"/>
                      </a:solidFill>
                      <a:latin typeface="微软雅黑" panose="020B0503020204020204" pitchFamily="34" charset="-122"/>
                      <a:ea typeface="微软雅黑" panose="020B0503020204020204" pitchFamily="34" charset="-122"/>
                      <a:cs typeface="微软雅黑" panose="020B0503020204020204" pitchFamily="34" charset="-122"/>
                      <a:sym typeface="微软雅黑" panose="020B0503020204020204" pitchFamily="34" charset="-122"/>
                    </a:defRPr>
                  </a:pPr>
                </a:p>
              </c:txPr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0" tIns="19050" rIns="0" bIns="19050" anchor="ctr" anchorCtr="1" forceAA="0"/>
              <a:lstStyle/>
              <a:p>
                <a:pPr>
                  <a:defRPr lang="zh-CN" sz="1000" b="0" i="0" u="none" strike="noStrike" kern="1200" spc="0" baseline="0">
                    <a:solidFill>
                      <a:schemeClr val="tx1"/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</a:p>
            </c:txPr>
            <c:dLblPos val="bestFit"/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[工作簿.xlsx]Sheet1!$A$17:$A$19</c:f>
              <c:strCache>
                <c:ptCount val="3"/>
                <c:pt idx="0">
                  <c:v>促进课内的身体活动/体能（I）</c:v>
                </c:pt>
                <c:pt idx="1">
                  <c:v>促进课外的身体/体能（O）</c:v>
                </c:pt>
                <c:pt idx="2">
                  <c:v>对身体活动/体能没有促进（N）</c:v>
                </c:pt>
              </c:strCache>
            </c:strRef>
          </c:cat>
          <c:val>
            <c:numRef>
              <c:f>[工作簿.xlsx]Sheet1!$B$17:$B$19</c:f>
              <c:numCache>
                <c:formatCode>General</c:formatCode>
                <c:ptCount val="3"/>
                <c:pt idx="0">
                  <c:v>679</c:v>
                </c:pt>
                <c:pt idx="1">
                  <c:v>0</c:v>
                </c:pt>
                <c:pt idx="2">
                  <c:v>201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lumMod val="50000"/>
          <a:lumOff val="50000"/>
          <a:alpha val="2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>
          <a:solidFill>
            <a:schemeClr val="tx1"/>
          </a:solidFill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1720</Words>
  <Characters>1752</Characters>
  <Lines>0</Lines>
  <Paragraphs>0</Paragraphs>
  <TotalTime>0</TotalTime>
  <ScaleCrop>false</ScaleCrop>
  <LinksUpToDate>false</LinksUpToDate>
  <CharactersWithSpaces>1754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2024-07-18T23:58:00Z</dcterms:created>
  <dc:creator>78619</dc:creator>
  <cp:lastModifiedBy>橘子</cp:lastModifiedBy>
  <dcterms:modified xsi:type="dcterms:W3CDTF">2024-08-30T04:45:00Z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7D2DF2C631D140A5975FDCDFA2770B22_11</vt:lpwstr>
  </property>
</Properties>
</file>