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4AAF6">
      <w:pPr>
        <w:pStyle w:val="2"/>
        <w:spacing w:line="247" w:lineRule="auto"/>
        <w:jc w:val="center"/>
        <w:rPr>
          <w:sz w:val="30"/>
          <w:szCs w:val="30"/>
        </w:rPr>
      </w:pPr>
      <w:r>
        <w:rPr>
          <w:rFonts w:hint="eastAsia" w:eastAsia="宋体"/>
          <w:b/>
          <w:bCs/>
          <w:sz w:val="30"/>
          <w:szCs w:val="30"/>
          <w:lang w:val="en-US" w:eastAsia="zh-CN"/>
        </w:rPr>
        <w:t>常州市武进区湖塘桥初级中学</w:t>
      </w:r>
    </w:p>
    <w:p w14:paraId="471CF666">
      <w:pPr>
        <w:spacing w:before="78" w:line="219" w:lineRule="auto"/>
        <w:jc w:val="center"/>
        <w:outlineLvl w:val="0"/>
        <w:rPr>
          <w:rFonts w:ascii="宋体" w:hAnsi="宋体" w:eastAsia="宋体" w:cs="宋体"/>
          <w:sz w:val="30"/>
          <w:szCs w:val="30"/>
        </w:rPr>
      </w:pPr>
      <w:r>
        <w:rPr>
          <w:rFonts w:ascii="宋体" w:hAnsi="宋体" w:eastAsia="宋体" w:cs="宋体"/>
          <w:b/>
          <w:bCs/>
          <w:spacing w:val="-1"/>
          <w:sz w:val="30"/>
          <w:szCs w:val="30"/>
        </w:rPr>
        <w:t>中小学高级职称评审细则表加分项目</w:t>
      </w:r>
      <w:r>
        <w:rPr>
          <w:rFonts w:ascii="宋体" w:hAnsi="宋体" w:eastAsia="宋体" w:cs="宋体"/>
          <w:b/>
          <w:bCs/>
          <w:spacing w:val="-1"/>
          <w:sz w:val="24"/>
          <w:szCs w:val="24"/>
        </w:rPr>
        <w:t>(</w:t>
      </w:r>
      <w:r>
        <w:rPr>
          <w:rFonts w:hint="eastAsia" w:ascii="宋体" w:hAnsi="宋体" w:eastAsia="宋体" w:cs="宋体"/>
          <w:b/>
          <w:bCs/>
          <w:spacing w:val="-1"/>
          <w:sz w:val="24"/>
          <w:szCs w:val="24"/>
          <w:lang w:val="en-US" w:eastAsia="zh-CN"/>
        </w:rPr>
        <w:t>2025.08.28十届五次教代会通过</w:t>
      </w:r>
      <w:r>
        <w:rPr>
          <w:rFonts w:ascii="宋体" w:hAnsi="宋体" w:eastAsia="宋体" w:cs="宋体"/>
          <w:b/>
          <w:bCs/>
          <w:spacing w:val="-1"/>
          <w:sz w:val="24"/>
          <w:szCs w:val="24"/>
        </w:rPr>
        <w:t>)</w:t>
      </w:r>
    </w:p>
    <w:p w14:paraId="765C00F1">
      <w:pPr>
        <w:spacing w:line="93" w:lineRule="exact"/>
      </w:pPr>
    </w:p>
    <w:tbl>
      <w:tblPr>
        <w:tblStyle w:val="5"/>
        <w:tblW w:w="14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38"/>
        <w:gridCol w:w="3571"/>
        <w:gridCol w:w="7454"/>
        <w:gridCol w:w="1049"/>
        <w:gridCol w:w="1049"/>
      </w:tblGrid>
      <w:tr w14:paraId="57FE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88" w:type="dxa"/>
            <w:vAlign w:val="top"/>
          </w:tcPr>
          <w:p w14:paraId="30708B2F">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序号</w:t>
            </w:r>
          </w:p>
        </w:tc>
        <w:tc>
          <w:tcPr>
            <w:tcW w:w="638" w:type="dxa"/>
            <w:vAlign w:val="top"/>
          </w:tcPr>
          <w:p w14:paraId="57B9707D">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类别</w:t>
            </w:r>
          </w:p>
        </w:tc>
        <w:tc>
          <w:tcPr>
            <w:tcW w:w="11025" w:type="dxa"/>
            <w:gridSpan w:val="2"/>
            <w:vAlign w:val="top"/>
          </w:tcPr>
          <w:p w14:paraId="16F65BE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基本条件</w:t>
            </w:r>
          </w:p>
        </w:tc>
        <w:tc>
          <w:tcPr>
            <w:tcW w:w="1049" w:type="dxa"/>
            <w:vAlign w:val="center"/>
          </w:tcPr>
          <w:p w14:paraId="34AFC862">
            <w:pPr>
              <w:pStyle w:val="6"/>
              <w:spacing w:before="132" w:line="221" w:lineRule="auto"/>
              <w:ind w:left="54"/>
              <w:jc w:val="center"/>
              <w:rPr>
                <w:rFonts w:hint="eastAsia" w:eastAsia="宋体"/>
                <w:spacing w:val="-2"/>
                <w:lang w:val="en-US" w:eastAsia="zh-CN"/>
              </w:rPr>
            </w:pPr>
            <w:r>
              <w:rPr>
                <w:rFonts w:hint="eastAsia"/>
                <w:spacing w:val="-2"/>
                <w:lang w:val="en-US" w:eastAsia="zh-CN"/>
              </w:rPr>
              <w:t>自评</w:t>
            </w:r>
          </w:p>
        </w:tc>
        <w:tc>
          <w:tcPr>
            <w:tcW w:w="1049" w:type="dxa"/>
            <w:vAlign w:val="center"/>
          </w:tcPr>
          <w:p w14:paraId="70C98083">
            <w:pPr>
              <w:pStyle w:val="6"/>
              <w:spacing w:before="132" w:line="221" w:lineRule="auto"/>
              <w:ind w:left="54"/>
              <w:jc w:val="center"/>
              <w:rPr>
                <w:rFonts w:hint="default" w:eastAsia="宋体"/>
                <w:spacing w:val="-2"/>
                <w:lang w:val="en-US" w:eastAsia="zh-CN"/>
              </w:rPr>
            </w:pPr>
            <w:r>
              <w:rPr>
                <w:rFonts w:hint="eastAsia"/>
                <w:spacing w:val="-2"/>
                <w:lang w:val="en-US" w:eastAsia="zh-CN"/>
              </w:rPr>
              <w:t>审核</w:t>
            </w:r>
          </w:p>
        </w:tc>
      </w:tr>
      <w:tr w14:paraId="5779A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5" w:hRule="atLeast"/>
        </w:trPr>
        <w:tc>
          <w:tcPr>
            <w:tcW w:w="588" w:type="dxa"/>
            <w:vAlign w:val="top"/>
          </w:tcPr>
          <w:p w14:paraId="37AFD545">
            <w:pPr>
              <w:spacing w:line="258" w:lineRule="auto"/>
              <w:rPr>
                <w:rFonts w:ascii="宋体" w:hAnsi="宋体" w:eastAsia="宋体" w:cs="宋体"/>
                <w:snapToGrid w:val="0"/>
                <w:color w:val="000000"/>
                <w:kern w:val="0"/>
                <w:sz w:val="17"/>
                <w:szCs w:val="17"/>
                <w:lang w:val="en-US" w:eastAsia="en-US" w:bidi="ar-SA"/>
              </w:rPr>
            </w:pPr>
          </w:p>
          <w:p w14:paraId="265C586B">
            <w:pPr>
              <w:spacing w:line="259" w:lineRule="auto"/>
              <w:rPr>
                <w:rFonts w:ascii="宋体" w:hAnsi="宋体" w:eastAsia="宋体" w:cs="宋体"/>
                <w:snapToGrid w:val="0"/>
                <w:color w:val="000000"/>
                <w:kern w:val="0"/>
                <w:sz w:val="17"/>
                <w:szCs w:val="17"/>
                <w:lang w:val="en-US" w:eastAsia="en-US" w:bidi="ar-SA"/>
              </w:rPr>
            </w:pPr>
          </w:p>
          <w:p w14:paraId="1AFEA1A4">
            <w:pPr>
              <w:spacing w:line="259" w:lineRule="auto"/>
              <w:rPr>
                <w:rFonts w:ascii="宋体" w:hAnsi="宋体" w:eastAsia="宋体" w:cs="宋体"/>
                <w:snapToGrid w:val="0"/>
                <w:color w:val="000000"/>
                <w:kern w:val="0"/>
                <w:sz w:val="17"/>
                <w:szCs w:val="17"/>
                <w:lang w:val="en-US" w:eastAsia="en-US" w:bidi="ar-SA"/>
              </w:rPr>
            </w:pPr>
          </w:p>
          <w:p w14:paraId="3BE66173">
            <w:pPr>
              <w:spacing w:line="259" w:lineRule="auto"/>
              <w:rPr>
                <w:rFonts w:ascii="宋体" w:hAnsi="宋体" w:eastAsia="宋体" w:cs="宋体"/>
                <w:snapToGrid w:val="0"/>
                <w:color w:val="000000"/>
                <w:kern w:val="0"/>
                <w:sz w:val="17"/>
                <w:szCs w:val="17"/>
                <w:lang w:val="en-US" w:eastAsia="en-US" w:bidi="ar-SA"/>
              </w:rPr>
            </w:pPr>
          </w:p>
          <w:p w14:paraId="7D3D2CA0">
            <w:pPr>
              <w:pStyle w:val="6"/>
              <w:spacing w:before="52" w:line="241" w:lineRule="auto"/>
              <w:ind w:left="175" w:firstLine="170" w:firstLineChars="100"/>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1</w:t>
            </w:r>
          </w:p>
        </w:tc>
        <w:tc>
          <w:tcPr>
            <w:tcW w:w="638" w:type="dxa"/>
            <w:vAlign w:val="top"/>
          </w:tcPr>
          <w:p w14:paraId="718EC7E0">
            <w:pPr>
              <w:spacing w:line="276" w:lineRule="auto"/>
              <w:rPr>
                <w:rFonts w:ascii="宋体" w:hAnsi="宋体" w:eastAsia="宋体" w:cs="宋体"/>
                <w:snapToGrid w:val="0"/>
                <w:color w:val="000000"/>
                <w:kern w:val="0"/>
                <w:sz w:val="17"/>
                <w:szCs w:val="17"/>
                <w:lang w:val="en-US" w:eastAsia="en-US" w:bidi="ar-SA"/>
              </w:rPr>
            </w:pPr>
          </w:p>
          <w:p w14:paraId="0B85C5AF">
            <w:pPr>
              <w:spacing w:line="277" w:lineRule="auto"/>
              <w:rPr>
                <w:rFonts w:ascii="宋体" w:hAnsi="宋体" w:eastAsia="宋体" w:cs="宋体"/>
                <w:snapToGrid w:val="0"/>
                <w:color w:val="000000"/>
                <w:kern w:val="0"/>
                <w:sz w:val="17"/>
                <w:szCs w:val="17"/>
                <w:lang w:val="en-US" w:eastAsia="en-US" w:bidi="ar-SA"/>
              </w:rPr>
            </w:pPr>
          </w:p>
          <w:p w14:paraId="3BEF07C3">
            <w:pPr>
              <w:spacing w:line="277" w:lineRule="auto"/>
              <w:rPr>
                <w:rFonts w:ascii="宋体" w:hAnsi="宋体" w:eastAsia="宋体" w:cs="宋体"/>
                <w:snapToGrid w:val="0"/>
                <w:color w:val="000000"/>
                <w:kern w:val="0"/>
                <w:sz w:val="17"/>
                <w:szCs w:val="17"/>
                <w:lang w:val="en-US" w:eastAsia="en-US" w:bidi="ar-SA"/>
              </w:rPr>
            </w:pPr>
          </w:p>
          <w:p w14:paraId="76C9FCC1">
            <w:pPr>
              <w:pStyle w:val="6"/>
              <w:spacing w:before="52" w:line="219" w:lineRule="auto"/>
              <w:ind w:left="60"/>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思想政治素质、职业道德</w:t>
            </w:r>
          </w:p>
        </w:tc>
        <w:tc>
          <w:tcPr>
            <w:tcW w:w="11025" w:type="dxa"/>
            <w:gridSpan w:val="2"/>
            <w:vAlign w:val="top"/>
          </w:tcPr>
          <w:p w14:paraId="4F00DCE3">
            <w:pPr>
              <w:pStyle w:val="6"/>
              <w:keepNext w:val="0"/>
              <w:keepLines w:val="0"/>
              <w:pageBreakBefore w:val="0"/>
              <w:widowControl/>
              <w:kinsoku w:val="0"/>
              <w:wordWrap/>
              <w:overflowPunct/>
              <w:topLinePunct w:val="0"/>
              <w:autoSpaceDE w:val="0"/>
              <w:autoSpaceDN w:val="0"/>
              <w:bidi w:val="0"/>
              <w:adjustRightInd w:val="0"/>
              <w:snapToGrid w:val="0"/>
              <w:spacing w:before="76" w:line="360" w:lineRule="exact"/>
              <w:ind w:left="11" w:right="240" w:firstLine="340" w:firstLineChars="200"/>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任现职以来，年度考核在合格以上</w:t>
            </w:r>
            <w:r>
              <w:rPr>
                <w:rFonts w:hint="eastAsia" w:ascii="宋体" w:hAnsi="宋体" w:eastAsia="宋体" w:cs="宋体"/>
                <w:snapToGrid w:val="0"/>
                <w:color w:val="000000"/>
                <w:kern w:val="0"/>
                <w:sz w:val="17"/>
                <w:szCs w:val="17"/>
                <w:lang w:val="en-US" w:eastAsia="zh-CN" w:bidi="ar-SA"/>
              </w:rPr>
              <w:t>。</w:t>
            </w:r>
            <w:r>
              <w:rPr>
                <w:rFonts w:ascii="宋体" w:hAnsi="宋体" w:eastAsia="宋体" w:cs="宋体"/>
                <w:snapToGrid w:val="0"/>
                <w:color w:val="000000"/>
                <w:kern w:val="0"/>
                <w:sz w:val="17"/>
                <w:szCs w:val="17"/>
                <w:lang w:val="en-US" w:eastAsia="en-US" w:bidi="ar-SA"/>
              </w:rPr>
              <w:t>其中申报高级专业技术资格的教师须获辖市(区)级以上考核优秀或嘉奖1次以上。出现以下情况之一的，在规定年限内不得申报高一级专业技术资格，或取消现任教师专业技术资格。</w:t>
            </w:r>
          </w:p>
          <w:p w14:paraId="5C51E59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11" w:firstLine="340" w:firstLineChars="200"/>
              <w:textAlignment w:val="baseline"/>
              <w:rPr>
                <w:rFonts w:ascii="宋体" w:hAnsi="宋体" w:eastAsia="宋体" w:cs="宋体"/>
                <w:snapToGrid w:val="0"/>
                <w:color w:val="000000"/>
                <w:kern w:val="0"/>
                <w:sz w:val="17"/>
                <w:szCs w:val="17"/>
                <w:lang w:val="en-US" w:eastAsia="en-US" w:bidi="ar-SA"/>
              </w:rPr>
            </w:pPr>
            <w:r>
              <w:rPr>
                <w:rFonts w:hint="eastAsia" w:ascii="宋体" w:hAnsi="宋体" w:eastAsia="宋体" w:cs="宋体"/>
                <w:snapToGrid w:val="0"/>
                <w:color w:val="000000"/>
                <w:kern w:val="0"/>
                <w:sz w:val="17"/>
                <w:szCs w:val="17"/>
                <w:lang w:val="en-US" w:eastAsia="zh-CN" w:bidi="ar-SA"/>
              </w:rPr>
              <w:t>1</w:t>
            </w:r>
            <w:r>
              <w:rPr>
                <w:rFonts w:ascii="宋体" w:hAnsi="宋体" w:eastAsia="宋体" w:cs="宋体"/>
                <w:snapToGrid w:val="0"/>
                <w:color w:val="000000"/>
                <w:kern w:val="0"/>
                <w:sz w:val="17"/>
                <w:szCs w:val="17"/>
                <w:lang w:val="en-US" w:eastAsia="en-US" w:bidi="ar-SA"/>
              </w:rPr>
              <w:t>.年度考核为“基本合格”“不合格”,受党纪、政务或事业单位工作人员处分被定为“不定档次”的，本考核年度不计算为现聘岗位等级的任职年限。其中，年度考核确定为“基本合格”的，下一年度不得申报</w:t>
            </w:r>
            <w:r>
              <w:rPr>
                <w:rFonts w:hint="eastAsia" w:ascii="宋体" w:hAnsi="宋体" w:eastAsia="宋体" w:cs="宋体"/>
                <w:snapToGrid w:val="0"/>
                <w:color w:val="000000"/>
                <w:kern w:val="0"/>
                <w:sz w:val="17"/>
                <w:szCs w:val="17"/>
                <w:lang w:val="en-US" w:eastAsia="zh-CN" w:bidi="ar-SA"/>
              </w:rPr>
              <w:t>；</w:t>
            </w:r>
            <w:r>
              <w:rPr>
                <w:rFonts w:ascii="宋体" w:hAnsi="宋体" w:eastAsia="宋体" w:cs="宋体"/>
                <w:snapToGrid w:val="0"/>
                <w:color w:val="000000"/>
                <w:kern w:val="0"/>
                <w:sz w:val="17"/>
                <w:szCs w:val="17"/>
                <w:lang w:val="en-US" w:eastAsia="en-US" w:bidi="ar-SA"/>
              </w:rPr>
              <w:t>年度考核为“不合格”的，从下一年度起</w:t>
            </w:r>
            <w:r>
              <w:rPr>
                <w:rFonts w:hint="eastAsia" w:ascii="宋体" w:hAnsi="宋体" w:eastAsia="宋体" w:cs="宋体"/>
                <w:snapToGrid w:val="0"/>
                <w:color w:val="000000"/>
                <w:kern w:val="0"/>
                <w:sz w:val="17"/>
                <w:szCs w:val="17"/>
                <w:lang w:val="en-US" w:eastAsia="zh-CN" w:bidi="ar-SA"/>
              </w:rPr>
              <w:t>2</w:t>
            </w:r>
            <w:r>
              <w:rPr>
                <w:rFonts w:ascii="宋体" w:hAnsi="宋体" w:eastAsia="宋体" w:cs="宋体"/>
                <w:snapToGrid w:val="0"/>
                <w:color w:val="000000"/>
                <w:kern w:val="0"/>
                <w:sz w:val="17"/>
                <w:szCs w:val="17"/>
                <w:lang w:val="en-US" w:eastAsia="en-US" w:bidi="ar-SA"/>
              </w:rPr>
              <w:t>年内不得申报。</w:t>
            </w:r>
          </w:p>
          <w:p w14:paraId="7C2A54F2">
            <w:pPr>
              <w:pStyle w:val="6"/>
              <w:keepNext w:val="0"/>
              <w:keepLines w:val="0"/>
              <w:pageBreakBefore w:val="0"/>
              <w:widowControl/>
              <w:kinsoku w:val="0"/>
              <w:wordWrap/>
              <w:overflowPunct/>
              <w:topLinePunct w:val="0"/>
              <w:autoSpaceDE w:val="0"/>
              <w:autoSpaceDN w:val="0"/>
              <w:bidi w:val="0"/>
              <w:adjustRightInd w:val="0"/>
              <w:snapToGrid w:val="0"/>
              <w:spacing w:before="1" w:line="360" w:lineRule="exact"/>
              <w:ind w:left="11" w:firstLine="340" w:firstLineChars="200"/>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2.受党纪、政务或事业单位工作人员处分的，影响期内取消申报资格。其中，受党纪警告、政务记过、事业单位</w:t>
            </w:r>
            <w:r>
              <w:rPr>
                <w:rFonts w:hint="eastAsia" w:ascii="宋体" w:hAnsi="宋体" w:eastAsia="宋体" w:cs="宋体"/>
                <w:snapToGrid w:val="0"/>
                <w:color w:val="000000"/>
                <w:kern w:val="0"/>
                <w:sz w:val="17"/>
                <w:szCs w:val="17"/>
                <w:lang w:val="en-US" w:eastAsia="zh-CN" w:bidi="ar-SA"/>
              </w:rPr>
              <w:t>工作人员记过</w:t>
            </w:r>
            <w:r>
              <w:rPr>
                <w:rFonts w:ascii="宋体" w:hAnsi="宋体" w:eastAsia="宋体" w:cs="宋体"/>
                <w:snapToGrid w:val="0"/>
                <w:color w:val="000000"/>
                <w:kern w:val="0"/>
                <w:sz w:val="17"/>
                <w:szCs w:val="17"/>
                <w:lang w:val="en-US" w:eastAsia="en-US" w:bidi="ar-SA"/>
              </w:rPr>
              <w:t>处分的，自处分</w:t>
            </w:r>
            <w:r>
              <w:rPr>
                <w:rFonts w:hint="eastAsia" w:ascii="宋体" w:hAnsi="宋体" w:eastAsia="宋体" w:cs="宋体"/>
                <w:snapToGrid w:val="0"/>
                <w:color w:val="000000"/>
                <w:kern w:val="0"/>
                <w:sz w:val="17"/>
                <w:szCs w:val="17"/>
                <w:lang w:val="en-US" w:eastAsia="zh-CN" w:bidi="ar-SA"/>
              </w:rPr>
              <w:t>解除</w:t>
            </w:r>
            <w:r>
              <w:rPr>
                <w:rFonts w:ascii="宋体" w:hAnsi="宋体" w:eastAsia="宋体" w:cs="宋体"/>
                <w:snapToGrid w:val="0"/>
                <w:color w:val="000000"/>
                <w:kern w:val="0"/>
                <w:sz w:val="17"/>
                <w:szCs w:val="17"/>
                <w:lang w:val="en-US" w:eastAsia="en-US" w:bidi="ar-SA"/>
              </w:rPr>
              <w:t>之日起1年内不得申报；受党纪严重警告、政务记大过、事业单位工作人员降低岗位等级及以上处分的自处分解除之日起至少2年不得申报。</w:t>
            </w:r>
          </w:p>
          <w:p w14:paraId="7B2CB9A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11" w:right="84" w:firstLine="340" w:firstLineChars="200"/>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3.有伪造学历、资历、业绩或剽窃他人成果等弄虚作假行为或其他师德失范行为者，取消当年申报资格，并从下一年度起3年内不得申报。情节特别严重者，取消其现任教师专业技术资格。</w:t>
            </w:r>
          </w:p>
          <w:p w14:paraId="2F34B96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11" w:firstLine="340" w:firstLineChars="200"/>
              <w:textAlignment w:val="baseline"/>
              <w:rPr>
                <w:rFonts w:hint="eastAsia" w:ascii="宋体" w:hAnsi="宋体" w:eastAsia="宋体" w:cs="宋体"/>
                <w:snapToGrid w:val="0"/>
                <w:color w:val="000000"/>
                <w:kern w:val="0"/>
                <w:sz w:val="17"/>
                <w:szCs w:val="17"/>
                <w:lang w:val="en-US" w:eastAsia="zh-CN" w:bidi="ar-SA"/>
              </w:rPr>
            </w:pPr>
            <w:r>
              <w:rPr>
                <w:rFonts w:ascii="宋体" w:hAnsi="宋体" w:eastAsia="宋体" w:cs="宋体"/>
                <w:snapToGrid w:val="0"/>
                <w:color w:val="000000"/>
                <w:kern w:val="0"/>
                <w:sz w:val="17"/>
                <w:szCs w:val="17"/>
                <w:lang w:val="en-US" w:eastAsia="en-US" w:bidi="ar-SA"/>
              </w:rPr>
              <w:t>4.已纳入教师资格定期注册工作的在职在岗教师，逾期未注册或最近一次注册结论为暂缓注册或注册不合格的，不得申报</w:t>
            </w:r>
            <w:r>
              <w:rPr>
                <w:rFonts w:hint="eastAsia" w:ascii="宋体" w:hAnsi="宋体" w:eastAsia="宋体" w:cs="宋体"/>
                <w:snapToGrid w:val="0"/>
                <w:color w:val="000000"/>
                <w:kern w:val="0"/>
                <w:sz w:val="17"/>
                <w:szCs w:val="17"/>
                <w:lang w:val="en-US" w:eastAsia="zh-CN" w:bidi="ar-SA"/>
              </w:rPr>
              <w:t>。</w:t>
            </w:r>
          </w:p>
        </w:tc>
        <w:tc>
          <w:tcPr>
            <w:tcW w:w="1049" w:type="dxa"/>
            <w:vAlign w:val="top"/>
          </w:tcPr>
          <w:p w14:paraId="5FBB5F48">
            <w:pPr>
              <w:pStyle w:val="6"/>
              <w:spacing w:line="219" w:lineRule="auto"/>
              <w:ind w:left="11"/>
              <w:rPr>
                <w:rFonts w:hint="eastAsia" w:eastAsia="宋体"/>
                <w:lang w:val="en-US" w:eastAsia="zh-CN"/>
              </w:rPr>
            </w:pPr>
          </w:p>
        </w:tc>
        <w:tc>
          <w:tcPr>
            <w:tcW w:w="1049" w:type="dxa"/>
            <w:vAlign w:val="top"/>
          </w:tcPr>
          <w:p w14:paraId="3BB33341">
            <w:pPr>
              <w:pStyle w:val="6"/>
              <w:spacing w:line="219" w:lineRule="auto"/>
              <w:ind w:left="11"/>
            </w:pPr>
          </w:p>
        </w:tc>
      </w:tr>
      <w:tr w14:paraId="1D7E1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588" w:type="dxa"/>
            <w:vAlign w:val="top"/>
          </w:tcPr>
          <w:p w14:paraId="144A95A8">
            <w:pPr>
              <w:spacing w:line="244" w:lineRule="auto"/>
              <w:rPr>
                <w:rFonts w:ascii="宋体" w:hAnsi="宋体" w:eastAsia="宋体" w:cs="宋体"/>
                <w:snapToGrid w:val="0"/>
                <w:color w:val="000000"/>
                <w:kern w:val="0"/>
                <w:sz w:val="17"/>
                <w:szCs w:val="17"/>
                <w:lang w:val="en-US" w:eastAsia="en-US" w:bidi="ar-SA"/>
              </w:rPr>
            </w:pPr>
          </w:p>
          <w:p w14:paraId="461DC3DE">
            <w:pPr>
              <w:pStyle w:val="6"/>
              <w:spacing w:before="52" w:line="241" w:lineRule="auto"/>
              <w:ind w:left="175" w:firstLine="170" w:firstLineChars="100"/>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w:t>
            </w:r>
          </w:p>
        </w:tc>
        <w:tc>
          <w:tcPr>
            <w:tcW w:w="638" w:type="dxa"/>
            <w:vAlign w:val="top"/>
          </w:tcPr>
          <w:p w14:paraId="1CDBC350">
            <w:pPr>
              <w:pStyle w:val="6"/>
              <w:spacing w:before="282" w:line="221" w:lineRule="auto"/>
              <w:ind w:left="60"/>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学历、资历</w:t>
            </w:r>
          </w:p>
        </w:tc>
        <w:tc>
          <w:tcPr>
            <w:tcW w:w="11025" w:type="dxa"/>
            <w:gridSpan w:val="2"/>
            <w:vAlign w:val="top"/>
          </w:tcPr>
          <w:p w14:paraId="0035A70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11" w:firstLine="340" w:firstLineChars="200"/>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1.具有本科以上学历或学士以上学位，受聘一级教师5年以上：或具有博士学位，受聘一级教师2年以上。</w:t>
            </w:r>
          </w:p>
          <w:p w14:paraId="2F223AB1">
            <w:pPr>
              <w:pStyle w:val="6"/>
              <w:keepNext w:val="0"/>
              <w:keepLines w:val="0"/>
              <w:pageBreakBefore w:val="0"/>
              <w:widowControl/>
              <w:kinsoku w:val="0"/>
              <w:wordWrap/>
              <w:overflowPunct/>
              <w:topLinePunct w:val="0"/>
              <w:autoSpaceDE w:val="0"/>
              <w:autoSpaceDN w:val="0"/>
              <w:bidi w:val="0"/>
              <w:adjustRightInd w:val="0"/>
              <w:snapToGrid w:val="0"/>
              <w:spacing w:before="1" w:line="360" w:lineRule="exact"/>
              <w:ind w:left="11" w:right="3" w:firstLine="340" w:firstLineChars="200"/>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2.距法定退休年龄5年以上的公办义务教育阶段在职教师，在任现职期间，城区学校教师须有2年以上在乡村或薄弱学校交流轮岗经历，乡村学校教师须有2年以上交流轮岗经历。</w:t>
            </w:r>
          </w:p>
        </w:tc>
        <w:tc>
          <w:tcPr>
            <w:tcW w:w="1049" w:type="dxa"/>
            <w:vAlign w:val="top"/>
          </w:tcPr>
          <w:p w14:paraId="131A831D">
            <w:pPr>
              <w:pStyle w:val="6"/>
              <w:spacing w:before="1" w:line="230" w:lineRule="auto"/>
              <w:ind w:left="11" w:right="3"/>
            </w:pPr>
          </w:p>
        </w:tc>
        <w:tc>
          <w:tcPr>
            <w:tcW w:w="1049" w:type="dxa"/>
            <w:vAlign w:val="top"/>
          </w:tcPr>
          <w:p w14:paraId="4CCAFEB1">
            <w:pPr>
              <w:pStyle w:val="6"/>
              <w:spacing w:before="1" w:line="230" w:lineRule="auto"/>
              <w:ind w:left="11" w:right="3"/>
            </w:pPr>
          </w:p>
        </w:tc>
      </w:tr>
      <w:tr w14:paraId="40392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588" w:type="dxa"/>
            <w:vAlign w:val="top"/>
          </w:tcPr>
          <w:p w14:paraId="5224EFA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w:t>
            </w:r>
          </w:p>
        </w:tc>
        <w:tc>
          <w:tcPr>
            <w:tcW w:w="638" w:type="dxa"/>
            <w:vAlign w:val="top"/>
          </w:tcPr>
          <w:p w14:paraId="7CBBF06A">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继续教育要求</w:t>
            </w:r>
          </w:p>
        </w:tc>
        <w:tc>
          <w:tcPr>
            <w:tcW w:w="11025" w:type="dxa"/>
            <w:gridSpan w:val="2"/>
            <w:vAlign w:val="top"/>
          </w:tcPr>
          <w:p w14:paraId="7BBE3A4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2010年12月31日以前，至少完成年均48学时的专业科目继续教育任务：2011年1月1日以后，至少完成年均72学时专业科目继续 教育任务。2011年起，所有申报职称晋升人员每年需参加一门市人社部门举办的公需科目必修课程学习并考核合格</w:t>
            </w:r>
          </w:p>
        </w:tc>
        <w:tc>
          <w:tcPr>
            <w:tcW w:w="1049" w:type="dxa"/>
            <w:vAlign w:val="top"/>
          </w:tcPr>
          <w:p w14:paraId="19DBB6F2">
            <w:pPr>
              <w:pStyle w:val="6"/>
              <w:spacing w:before="122" w:line="221" w:lineRule="auto"/>
              <w:ind w:left="11" w:right="3"/>
            </w:pPr>
          </w:p>
        </w:tc>
        <w:tc>
          <w:tcPr>
            <w:tcW w:w="1049" w:type="dxa"/>
            <w:vAlign w:val="top"/>
          </w:tcPr>
          <w:p w14:paraId="7B1C11AA">
            <w:pPr>
              <w:pStyle w:val="6"/>
              <w:spacing w:before="122" w:line="221" w:lineRule="auto"/>
              <w:ind w:left="11" w:right="3"/>
            </w:pPr>
          </w:p>
        </w:tc>
      </w:tr>
      <w:tr w14:paraId="4CBD0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88" w:type="dxa"/>
            <w:tcBorders>
              <w:bottom w:val="single" w:color="auto" w:sz="4" w:space="0"/>
            </w:tcBorders>
            <w:vAlign w:val="top"/>
          </w:tcPr>
          <w:p w14:paraId="6D4F4C2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000000"/>
                <w:kern w:val="0"/>
                <w:sz w:val="17"/>
                <w:szCs w:val="17"/>
                <w:lang w:val="en-US" w:eastAsia="en-US" w:bidi="ar-SA"/>
              </w:rPr>
            </w:pPr>
          </w:p>
        </w:tc>
        <w:tc>
          <w:tcPr>
            <w:tcW w:w="638" w:type="dxa"/>
            <w:tcBorders>
              <w:bottom w:val="single" w:color="auto" w:sz="4" w:space="0"/>
            </w:tcBorders>
            <w:vAlign w:val="top"/>
          </w:tcPr>
          <w:p w14:paraId="705D831B">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类别</w:t>
            </w:r>
          </w:p>
        </w:tc>
        <w:tc>
          <w:tcPr>
            <w:tcW w:w="3571" w:type="dxa"/>
            <w:tcBorders>
              <w:bottom w:val="single" w:color="auto" w:sz="4" w:space="0"/>
            </w:tcBorders>
            <w:vAlign w:val="top"/>
          </w:tcPr>
          <w:p w14:paraId="4A49ED2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评价标准</w:t>
            </w:r>
          </w:p>
        </w:tc>
        <w:tc>
          <w:tcPr>
            <w:tcW w:w="7454" w:type="dxa"/>
            <w:tcBorders>
              <w:bottom w:val="single" w:color="auto" w:sz="4" w:space="0"/>
            </w:tcBorders>
            <w:vAlign w:val="top"/>
          </w:tcPr>
          <w:p w14:paraId="6E47D2E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加分项(武进区)</w:t>
            </w:r>
          </w:p>
        </w:tc>
        <w:tc>
          <w:tcPr>
            <w:tcW w:w="1049" w:type="dxa"/>
            <w:tcBorders>
              <w:bottom w:val="single" w:color="auto" w:sz="4" w:space="0"/>
            </w:tcBorders>
            <w:vAlign w:val="center"/>
          </w:tcPr>
          <w:p w14:paraId="48391EB5">
            <w:pPr>
              <w:pStyle w:val="6"/>
              <w:spacing w:before="132" w:line="221" w:lineRule="auto"/>
              <w:ind w:left="54"/>
              <w:jc w:val="center"/>
              <w:rPr>
                <w:spacing w:val="-2"/>
              </w:rPr>
            </w:pPr>
            <w:r>
              <w:rPr>
                <w:rFonts w:hint="eastAsia"/>
                <w:spacing w:val="-2"/>
                <w:lang w:val="en-US" w:eastAsia="zh-CN"/>
              </w:rPr>
              <w:t>自评分</w:t>
            </w:r>
          </w:p>
        </w:tc>
        <w:tc>
          <w:tcPr>
            <w:tcW w:w="1049" w:type="dxa"/>
            <w:tcBorders>
              <w:bottom w:val="single" w:color="auto" w:sz="4" w:space="0"/>
            </w:tcBorders>
            <w:vAlign w:val="center"/>
          </w:tcPr>
          <w:p w14:paraId="073C392E">
            <w:pPr>
              <w:pStyle w:val="6"/>
              <w:spacing w:before="132" w:line="221" w:lineRule="auto"/>
              <w:ind w:left="54"/>
              <w:jc w:val="center"/>
              <w:rPr>
                <w:spacing w:val="-2"/>
              </w:rPr>
            </w:pPr>
            <w:r>
              <w:rPr>
                <w:rFonts w:hint="eastAsia"/>
                <w:spacing w:val="-2"/>
                <w:lang w:val="en-US" w:eastAsia="zh-CN"/>
              </w:rPr>
              <w:t>审核分</w:t>
            </w:r>
          </w:p>
        </w:tc>
      </w:tr>
      <w:tr w14:paraId="7F74A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588" w:type="dxa"/>
            <w:vMerge w:val="restart"/>
            <w:tcBorders>
              <w:top w:val="single" w:color="auto" w:sz="4" w:space="0"/>
              <w:left w:val="single" w:color="auto" w:sz="4" w:space="0"/>
              <w:right w:val="single" w:color="auto" w:sz="4" w:space="0"/>
            </w:tcBorders>
            <w:vAlign w:val="top"/>
          </w:tcPr>
          <w:p w14:paraId="427FC9B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4</w:t>
            </w:r>
          </w:p>
        </w:tc>
        <w:tc>
          <w:tcPr>
            <w:tcW w:w="638" w:type="dxa"/>
            <w:vMerge w:val="restart"/>
            <w:tcBorders>
              <w:top w:val="single" w:color="auto" w:sz="4" w:space="0"/>
              <w:left w:val="single" w:color="auto" w:sz="4" w:space="0"/>
            </w:tcBorders>
            <w:vAlign w:val="center"/>
          </w:tcPr>
          <w:p w14:paraId="63B13F1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firstLine="170" w:firstLineChars="1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综合</w:t>
            </w:r>
          </w:p>
        </w:tc>
        <w:tc>
          <w:tcPr>
            <w:tcW w:w="3571" w:type="dxa"/>
            <w:vMerge w:val="restart"/>
            <w:tcBorders>
              <w:top w:val="single" w:color="auto" w:sz="4" w:space="0"/>
            </w:tcBorders>
            <w:vAlign w:val="top"/>
          </w:tcPr>
          <w:p w14:paraId="4537441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p w14:paraId="6A03E65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师德综合评价获所在校“优秀”等第。</w:t>
            </w:r>
          </w:p>
          <w:p w14:paraId="718432B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p w14:paraId="17F2938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任教班级学生满意度达85%以上。</w:t>
            </w:r>
          </w:p>
        </w:tc>
        <w:tc>
          <w:tcPr>
            <w:tcW w:w="7454" w:type="dxa"/>
            <w:tcBorders>
              <w:top w:val="single" w:color="auto" w:sz="4" w:space="0"/>
            </w:tcBorders>
            <w:vAlign w:val="center"/>
          </w:tcPr>
          <w:p w14:paraId="16D5647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1.从教以来，行政部门颁发的先进工作者、优秀教育工作者、劳动模范、模范教师、优秀教师、师德模范、师德标兵等。区级2分、市级3分、省级及以上5分。(计最高分一次)</w:t>
            </w:r>
          </w:p>
          <w:p w14:paraId="0AA2751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1049" w:type="dxa"/>
            <w:tcBorders>
              <w:top w:val="single" w:color="auto" w:sz="4" w:space="0"/>
            </w:tcBorders>
            <w:vAlign w:val="top"/>
          </w:tcPr>
          <w:p w14:paraId="55703876">
            <w:pPr>
              <w:pStyle w:val="6"/>
              <w:spacing w:line="219" w:lineRule="auto"/>
              <w:ind w:left="15"/>
            </w:pPr>
          </w:p>
        </w:tc>
        <w:tc>
          <w:tcPr>
            <w:tcW w:w="1049" w:type="dxa"/>
            <w:tcBorders>
              <w:top w:val="single" w:color="auto" w:sz="4" w:space="0"/>
            </w:tcBorders>
            <w:vAlign w:val="top"/>
          </w:tcPr>
          <w:p w14:paraId="71C64125">
            <w:pPr>
              <w:pStyle w:val="6"/>
              <w:spacing w:line="219" w:lineRule="auto"/>
              <w:ind w:left="15"/>
            </w:pPr>
          </w:p>
        </w:tc>
      </w:tr>
      <w:tr w14:paraId="34D62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88" w:type="dxa"/>
            <w:vMerge w:val="continue"/>
            <w:tcBorders>
              <w:left w:val="single" w:color="auto" w:sz="4" w:space="0"/>
              <w:right w:val="single" w:color="auto" w:sz="4" w:space="0"/>
            </w:tcBorders>
            <w:vAlign w:val="top"/>
          </w:tcPr>
          <w:p w14:paraId="3796DB6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638" w:type="dxa"/>
            <w:vMerge w:val="continue"/>
            <w:tcBorders>
              <w:left w:val="single" w:color="auto" w:sz="4" w:space="0"/>
            </w:tcBorders>
            <w:vAlign w:val="top"/>
          </w:tcPr>
          <w:p w14:paraId="0139D6E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3571" w:type="dxa"/>
            <w:vMerge w:val="continue"/>
            <w:vAlign w:val="top"/>
          </w:tcPr>
          <w:p w14:paraId="2E8DAA9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54" w:type="dxa"/>
            <w:tcBorders>
              <w:top w:val="single" w:color="auto" w:sz="4" w:space="0"/>
            </w:tcBorders>
            <w:vAlign w:val="center"/>
          </w:tcPr>
          <w:p w14:paraId="30CEB38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2.任现职以来，年度考核优秀、嘉奖、记功。优秀或嘉奖2次以上1</w:t>
            </w:r>
          </w:p>
          <w:p w14:paraId="71E960B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分，记功2分。(计最高分一次)</w:t>
            </w:r>
          </w:p>
        </w:tc>
        <w:tc>
          <w:tcPr>
            <w:tcW w:w="1049" w:type="dxa"/>
            <w:vAlign w:val="top"/>
          </w:tcPr>
          <w:p w14:paraId="48A5027B">
            <w:pPr>
              <w:pStyle w:val="6"/>
              <w:spacing w:line="218" w:lineRule="auto"/>
              <w:ind w:left="34"/>
              <w:rPr>
                <w:spacing w:val="3"/>
                <w:sz w:val="18"/>
                <w:szCs w:val="18"/>
              </w:rPr>
            </w:pPr>
          </w:p>
        </w:tc>
        <w:tc>
          <w:tcPr>
            <w:tcW w:w="1049" w:type="dxa"/>
            <w:vAlign w:val="top"/>
          </w:tcPr>
          <w:p w14:paraId="63E4CC6B">
            <w:pPr>
              <w:pStyle w:val="6"/>
              <w:spacing w:line="218" w:lineRule="auto"/>
              <w:ind w:left="34"/>
              <w:rPr>
                <w:spacing w:val="3"/>
                <w:sz w:val="18"/>
                <w:szCs w:val="18"/>
              </w:rPr>
            </w:pPr>
          </w:p>
        </w:tc>
      </w:tr>
      <w:tr w14:paraId="6C202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588" w:type="dxa"/>
            <w:vMerge w:val="continue"/>
            <w:tcBorders>
              <w:left w:val="single" w:color="auto" w:sz="4" w:space="0"/>
              <w:bottom w:val="single" w:color="auto" w:sz="4" w:space="0"/>
              <w:right w:val="single" w:color="auto" w:sz="4" w:space="0"/>
            </w:tcBorders>
            <w:vAlign w:val="top"/>
          </w:tcPr>
          <w:p w14:paraId="1788CB2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638" w:type="dxa"/>
            <w:vMerge w:val="continue"/>
            <w:tcBorders>
              <w:left w:val="single" w:color="auto" w:sz="4" w:space="0"/>
            </w:tcBorders>
            <w:vAlign w:val="top"/>
          </w:tcPr>
          <w:p w14:paraId="720BB55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3571" w:type="dxa"/>
            <w:vMerge w:val="continue"/>
            <w:vAlign w:val="top"/>
          </w:tcPr>
          <w:p w14:paraId="43F46B8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54" w:type="dxa"/>
            <w:vAlign w:val="center"/>
          </w:tcPr>
          <w:p w14:paraId="7EC6815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3.从教以来，参加师德讲堂活动，</w:t>
            </w:r>
            <w:r>
              <w:rPr>
                <w:rFonts w:hint="eastAsia" w:cs="宋体"/>
                <w:snapToGrid w:val="0"/>
                <w:color w:val="000000"/>
                <w:kern w:val="0"/>
                <w:sz w:val="17"/>
                <w:szCs w:val="17"/>
                <w:lang w:val="en-US" w:eastAsia="zh-CN" w:bidi="ar-SA"/>
              </w:rPr>
              <w:t>宣</w:t>
            </w:r>
            <w:bookmarkStart w:id="0" w:name="_GoBack"/>
            <w:bookmarkEnd w:id="0"/>
            <w:r>
              <w:rPr>
                <w:rFonts w:ascii="宋体" w:hAnsi="宋体" w:eastAsia="宋体" w:cs="宋体"/>
                <w:snapToGrid w:val="0"/>
                <w:color w:val="000000"/>
                <w:kern w:val="0"/>
                <w:sz w:val="17"/>
                <w:szCs w:val="17"/>
                <w:lang w:val="en-US" w:eastAsia="en-US" w:bidi="ar-SA"/>
              </w:rPr>
              <w:t>讲自己的师德故事。师德故事</w:t>
            </w:r>
            <w:r>
              <w:rPr>
                <w:rFonts w:hint="eastAsia" w:cs="宋体"/>
                <w:snapToGrid w:val="0"/>
                <w:color w:val="000000"/>
                <w:kern w:val="0"/>
                <w:sz w:val="17"/>
                <w:szCs w:val="17"/>
                <w:lang w:val="en-US" w:eastAsia="zh-CN" w:bidi="ar-SA"/>
              </w:rPr>
              <w:t>宣</w:t>
            </w:r>
            <w:r>
              <w:rPr>
                <w:rFonts w:ascii="宋体" w:hAnsi="宋体" w:eastAsia="宋体" w:cs="宋体"/>
                <w:snapToGrid w:val="0"/>
                <w:color w:val="000000"/>
                <w:kern w:val="0"/>
                <w:sz w:val="17"/>
                <w:szCs w:val="17"/>
                <w:lang w:val="en-US" w:eastAsia="en-US" w:bidi="ar-SA"/>
              </w:rPr>
              <w:t>讲或被媒体报道，校级1分、区级2分、市级3分、省级及以上5分。 (计最高分一次)</w:t>
            </w:r>
          </w:p>
          <w:p w14:paraId="18F82C0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(本栏累计不超过10分)</w:t>
            </w:r>
          </w:p>
        </w:tc>
        <w:tc>
          <w:tcPr>
            <w:tcW w:w="1049" w:type="dxa"/>
            <w:vAlign w:val="top"/>
          </w:tcPr>
          <w:p w14:paraId="6D6BFC2E">
            <w:pPr>
              <w:pStyle w:val="6"/>
              <w:spacing w:line="218" w:lineRule="auto"/>
              <w:ind w:left="34"/>
              <w:rPr>
                <w:spacing w:val="3"/>
                <w:sz w:val="18"/>
                <w:szCs w:val="18"/>
              </w:rPr>
            </w:pPr>
          </w:p>
        </w:tc>
        <w:tc>
          <w:tcPr>
            <w:tcW w:w="1049" w:type="dxa"/>
            <w:vAlign w:val="top"/>
          </w:tcPr>
          <w:p w14:paraId="1398B85B">
            <w:pPr>
              <w:pStyle w:val="6"/>
              <w:spacing w:line="218" w:lineRule="auto"/>
              <w:ind w:left="34"/>
              <w:rPr>
                <w:spacing w:val="3"/>
                <w:sz w:val="18"/>
                <w:szCs w:val="18"/>
              </w:rPr>
            </w:pPr>
          </w:p>
        </w:tc>
      </w:tr>
      <w:tr w14:paraId="037A4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588" w:type="dxa"/>
            <w:vMerge w:val="restart"/>
            <w:tcBorders>
              <w:top w:val="single" w:color="auto" w:sz="4" w:space="0"/>
            </w:tcBorders>
            <w:vAlign w:val="top"/>
          </w:tcPr>
          <w:p w14:paraId="5B3D4D2E">
            <w:pPr>
              <w:spacing w:line="257" w:lineRule="auto"/>
              <w:rPr>
                <w:rFonts w:ascii="Arial"/>
                <w:sz w:val="21"/>
              </w:rPr>
            </w:pPr>
          </w:p>
          <w:p w14:paraId="2CF9E435">
            <w:pPr>
              <w:spacing w:line="257" w:lineRule="auto"/>
              <w:rPr>
                <w:rFonts w:ascii="Arial"/>
                <w:sz w:val="21"/>
              </w:rPr>
            </w:pPr>
          </w:p>
          <w:p w14:paraId="2A9DA686">
            <w:pPr>
              <w:spacing w:line="257" w:lineRule="auto"/>
              <w:rPr>
                <w:rFonts w:ascii="Arial"/>
                <w:sz w:val="21"/>
              </w:rPr>
            </w:pPr>
          </w:p>
          <w:p w14:paraId="57548A76">
            <w:pPr>
              <w:spacing w:line="257" w:lineRule="auto"/>
              <w:rPr>
                <w:rFonts w:ascii="Arial"/>
                <w:sz w:val="21"/>
              </w:rPr>
            </w:pPr>
          </w:p>
          <w:p w14:paraId="40DBD0C4">
            <w:pPr>
              <w:spacing w:line="257" w:lineRule="auto"/>
              <w:rPr>
                <w:rFonts w:ascii="Arial"/>
                <w:sz w:val="21"/>
              </w:rPr>
            </w:pPr>
          </w:p>
          <w:p w14:paraId="1FC7EDED">
            <w:pPr>
              <w:spacing w:line="257" w:lineRule="auto"/>
              <w:rPr>
                <w:rFonts w:ascii="Arial"/>
                <w:sz w:val="21"/>
              </w:rPr>
            </w:pPr>
          </w:p>
          <w:p w14:paraId="0E2354C4">
            <w:pPr>
              <w:spacing w:line="257" w:lineRule="auto"/>
              <w:rPr>
                <w:rFonts w:ascii="Arial"/>
                <w:sz w:val="21"/>
              </w:rPr>
            </w:pPr>
          </w:p>
          <w:p w14:paraId="488ABCAE">
            <w:pPr>
              <w:spacing w:line="258" w:lineRule="auto"/>
              <w:rPr>
                <w:rFonts w:ascii="Arial"/>
                <w:sz w:val="21"/>
              </w:rPr>
            </w:pPr>
          </w:p>
          <w:p w14:paraId="6A6E3CEF">
            <w:pPr>
              <w:spacing w:line="258" w:lineRule="auto"/>
              <w:rPr>
                <w:rFonts w:ascii="Arial"/>
                <w:sz w:val="21"/>
              </w:rPr>
            </w:pPr>
          </w:p>
          <w:p w14:paraId="7A8BFD89">
            <w:pPr>
              <w:spacing w:line="258" w:lineRule="auto"/>
              <w:rPr>
                <w:rFonts w:ascii="Arial"/>
                <w:sz w:val="21"/>
              </w:rPr>
            </w:pPr>
          </w:p>
          <w:p w14:paraId="5FA1ED2D">
            <w:pPr>
              <w:pStyle w:val="6"/>
              <w:spacing w:before="59"/>
              <w:ind w:left="185" w:firstLine="180" w:firstLineChars="100"/>
              <w:rPr>
                <w:sz w:val="18"/>
                <w:szCs w:val="18"/>
              </w:rPr>
            </w:pPr>
            <w:r>
              <w:rPr>
                <w:sz w:val="18"/>
                <w:szCs w:val="18"/>
              </w:rPr>
              <w:t>5</w:t>
            </w:r>
          </w:p>
        </w:tc>
        <w:tc>
          <w:tcPr>
            <w:tcW w:w="638" w:type="dxa"/>
            <w:vMerge w:val="restart"/>
            <w:vAlign w:val="top"/>
          </w:tcPr>
          <w:p w14:paraId="5C875499">
            <w:pPr>
              <w:spacing w:line="255" w:lineRule="auto"/>
              <w:rPr>
                <w:rFonts w:ascii="Arial"/>
                <w:sz w:val="21"/>
              </w:rPr>
            </w:pPr>
          </w:p>
          <w:p w14:paraId="1A3347D4">
            <w:pPr>
              <w:spacing w:line="255" w:lineRule="auto"/>
              <w:rPr>
                <w:rFonts w:ascii="Arial"/>
                <w:sz w:val="21"/>
              </w:rPr>
            </w:pPr>
          </w:p>
          <w:p w14:paraId="0D3A562A">
            <w:pPr>
              <w:spacing w:line="255" w:lineRule="auto"/>
              <w:rPr>
                <w:rFonts w:ascii="Arial"/>
                <w:sz w:val="21"/>
              </w:rPr>
            </w:pPr>
          </w:p>
          <w:p w14:paraId="09D00B14">
            <w:pPr>
              <w:spacing w:line="255" w:lineRule="auto"/>
              <w:rPr>
                <w:rFonts w:ascii="Arial"/>
                <w:sz w:val="21"/>
              </w:rPr>
            </w:pPr>
          </w:p>
          <w:p w14:paraId="77601529">
            <w:pPr>
              <w:spacing w:line="256" w:lineRule="auto"/>
              <w:rPr>
                <w:rFonts w:ascii="Arial"/>
                <w:sz w:val="21"/>
              </w:rPr>
            </w:pPr>
          </w:p>
          <w:p w14:paraId="24EF0E0E">
            <w:pPr>
              <w:spacing w:line="256" w:lineRule="auto"/>
              <w:rPr>
                <w:rFonts w:ascii="Arial"/>
                <w:sz w:val="21"/>
              </w:rPr>
            </w:pPr>
          </w:p>
          <w:p w14:paraId="0BABCFC2">
            <w:pPr>
              <w:spacing w:line="256" w:lineRule="auto"/>
              <w:rPr>
                <w:rFonts w:ascii="Arial"/>
                <w:sz w:val="21"/>
              </w:rPr>
            </w:pPr>
          </w:p>
          <w:p w14:paraId="07D8975C">
            <w:pPr>
              <w:spacing w:line="256" w:lineRule="auto"/>
              <w:rPr>
                <w:rFonts w:ascii="Arial"/>
                <w:sz w:val="21"/>
              </w:rPr>
            </w:pPr>
          </w:p>
          <w:p w14:paraId="2537D480">
            <w:pPr>
              <w:spacing w:line="256" w:lineRule="auto"/>
              <w:rPr>
                <w:rFonts w:ascii="Arial"/>
                <w:sz w:val="21"/>
              </w:rPr>
            </w:pPr>
          </w:p>
          <w:p w14:paraId="253CE19B">
            <w:pPr>
              <w:spacing w:line="256" w:lineRule="auto"/>
              <w:rPr>
                <w:rFonts w:ascii="Arial"/>
                <w:sz w:val="21"/>
              </w:rPr>
            </w:pPr>
          </w:p>
          <w:p w14:paraId="2A09341D">
            <w:pPr>
              <w:pStyle w:val="6"/>
              <w:spacing w:before="58" w:line="219" w:lineRule="auto"/>
              <w:ind w:left="139"/>
              <w:rPr>
                <w:sz w:val="18"/>
                <w:szCs w:val="18"/>
              </w:rPr>
            </w:pPr>
            <w:r>
              <w:rPr>
                <w:spacing w:val="2"/>
                <w:sz w:val="18"/>
                <w:szCs w:val="18"/>
              </w:rPr>
              <w:t>教育工作</w:t>
            </w:r>
          </w:p>
        </w:tc>
        <w:tc>
          <w:tcPr>
            <w:tcW w:w="3571" w:type="dxa"/>
            <w:vMerge w:val="restart"/>
            <w:vAlign w:val="top"/>
          </w:tcPr>
          <w:p w14:paraId="36E18CA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从教以来，教育管理工作经验丰富，符合以下条件之 一 ：</w:t>
            </w:r>
          </w:p>
          <w:p w14:paraId="7EA0DC7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(1)担任班主任工作6年以上，其中任现职以来3年以上 ；</w:t>
            </w:r>
          </w:p>
          <w:p w14:paraId="7041C2D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(2)担任团队辅导员、课外活动小组指导教师(学生社团、运动队、学科竞赛、综合实践活动、专业集训队等，每周2节课以上)7年以上，其中任现职以来4年以上。</w:t>
            </w:r>
          </w:p>
          <w:p w14:paraId="1F5A71E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(3)担任校级领导、中层干部、教研组长、年级组长、团委正职书记、少先队大队辅导员等其他教育管理工作7年以上，其中任现职以来4年以上。</w:t>
            </w:r>
          </w:p>
          <w:p w14:paraId="2378753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(4)具有博士学位的教师，从教以来担任班主任不少于1年，或从事其他教育管理工作不少于2年。</w:t>
            </w:r>
          </w:p>
          <w:p w14:paraId="6004EAE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任现职以来，教育管理工作取得一定成效，符合以下条件之一：</w:t>
            </w:r>
          </w:p>
          <w:p w14:paraId="340E840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(1)班主任本人或所带班级获得校级以上综合性奖励2次以上。</w:t>
            </w:r>
          </w:p>
          <w:p w14:paraId="5585295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(2)辅导员、指导教师所带团队获得辖市(区)级以上学生团体奖励2次以上或辖市(区)级以上学生个人奖励3次以上。</w:t>
            </w:r>
          </w:p>
          <w:p w14:paraId="4B88B20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(3)本人因教育工作成绩显著获得辖市(区)级以上奖励1次以上。</w:t>
            </w:r>
          </w:p>
        </w:tc>
        <w:tc>
          <w:tcPr>
            <w:tcW w:w="7454" w:type="dxa"/>
            <w:tcBorders>
              <w:bottom w:val="nil"/>
            </w:tcBorders>
            <w:vAlign w:val="center"/>
          </w:tcPr>
          <w:p w14:paraId="52DAC71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p w14:paraId="1506790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1.从教以来，担任班主任、团队辅导员、课外活动小组指导教师、学生社团指导教师、运动队教练、学科竞赛指导教师、专业集训队教练、校级领导、中层干部、教研组长、年级组长、团委书记、少先队大队辅导员等。担任班主任工作，1分/年，最高20分。(校级领导、中层干部加分标准参照班主任，但不得超班主任</w:t>
            </w:r>
            <w:r>
              <w:rPr>
                <w:rFonts w:hint="eastAsia" w:cs="宋体"/>
                <w:snapToGrid w:val="0"/>
                <w:color w:val="000000"/>
                <w:kern w:val="0"/>
                <w:sz w:val="17"/>
                <w:szCs w:val="17"/>
                <w:lang w:val="en-US" w:eastAsia="zh-CN" w:bidi="ar-SA"/>
              </w:rPr>
              <w:t>；</w:t>
            </w:r>
            <w:r>
              <w:rPr>
                <w:rFonts w:ascii="宋体" w:hAnsi="宋体" w:eastAsia="宋体" w:cs="宋体"/>
                <w:snapToGrid w:val="0"/>
                <w:color w:val="000000"/>
                <w:kern w:val="0"/>
                <w:sz w:val="17"/>
                <w:szCs w:val="17"/>
                <w:lang w:val="en-US" w:eastAsia="en-US" w:bidi="ar-SA"/>
              </w:rPr>
              <w:t>其他不得超班主任分值的50%。多项教育管理类工作加分，若时间重叠部分，按最高算，若时间不重叠部分，可累计。)(最高限20分)</w:t>
            </w:r>
          </w:p>
          <w:p w14:paraId="3C8A463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1049" w:type="dxa"/>
            <w:vAlign w:val="top"/>
          </w:tcPr>
          <w:p w14:paraId="50A4037B">
            <w:pPr>
              <w:pStyle w:val="6"/>
              <w:spacing w:before="3" w:line="219" w:lineRule="auto"/>
              <w:ind w:left="34"/>
              <w:rPr>
                <w:spacing w:val="3"/>
                <w:sz w:val="18"/>
                <w:szCs w:val="18"/>
              </w:rPr>
            </w:pPr>
          </w:p>
        </w:tc>
        <w:tc>
          <w:tcPr>
            <w:tcW w:w="1049" w:type="dxa"/>
            <w:vAlign w:val="top"/>
          </w:tcPr>
          <w:p w14:paraId="46BFC649">
            <w:pPr>
              <w:pStyle w:val="6"/>
              <w:spacing w:before="3" w:line="219" w:lineRule="auto"/>
              <w:ind w:left="34"/>
              <w:rPr>
                <w:spacing w:val="3"/>
                <w:sz w:val="18"/>
                <w:szCs w:val="18"/>
              </w:rPr>
            </w:pPr>
          </w:p>
        </w:tc>
      </w:tr>
      <w:tr w14:paraId="4D390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588" w:type="dxa"/>
            <w:vMerge w:val="continue"/>
            <w:tcBorders>
              <w:bottom w:val="single" w:color="auto" w:sz="4" w:space="0"/>
            </w:tcBorders>
            <w:vAlign w:val="top"/>
          </w:tcPr>
          <w:p w14:paraId="0104F73B">
            <w:pPr>
              <w:pStyle w:val="6"/>
              <w:spacing w:before="3" w:line="219" w:lineRule="auto"/>
              <w:ind w:left="34"/>
            </w:pPr>
          </w:p>
        </w:tc>
        <w:tc>
          <w:tcPr>
            <w:tcW w:w="638" w:type="dxa"/>
            <w:vMerge w:val="continue"/>
            <w:tcBorders>
              <w:bottom w:val="nil"/>
            </w:tcBorders>
            <w:vAlign w:val="top"/>
          </w:tcPr>
          <w:p w14:paraId="23BCC176">
            <w:pPr>
              <w:pStyle w:val="6"/>
              <w:spacing w:before="3" w:line="219" w:lineRule="auto"/>
              <w:ind w:left="34"/>
            </w:pPr>
          </w:p>
        </w:tc>
        <w:tc>
          <w:tcPr>
            <w:tcW w:w="3571" w:type="dxa"/>
            <w:vMerge w:val="continue"/>
            <w:vAlign w:val="top"/>
          </w:tcPr>
          <w:p w14:paraId="14DD9D5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54" w:type="dxa"/>
            <w:tcBorders>
              <w:bottom w:val="single" w:color="auto" w:sz="4" w:space="0"/>
            </w:tcBorders>
            <w:vAlign w:val="center"/>
          </w:tcPr>
          <w:p w14:paraId="2D57C7C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任现职以来，班主任本人或所带班级获得区级以上所获荣誉奖项。所带班团获得荣誉，优秀德育工作者、优秀班主任、先进班集体、先进团支部、红旗团支部等，区级2分、市级3分、省级及以上5分。(计最高分一次)</w:t>
            </w:r>
          </w:p>
          <w:p w14:paraId="10BCE1D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1049" w:type="dxa"/>
            <w:tcBorders>
              <w:bottom w:val="single" w:color="auto" w:sz="4" w:space="0"/>
            </w:tcBorders>
            <w:vAlign w:val="top"/>
          </w:tcPr>
          <w:p w14:paraId="1ADD7C13">
            <w:pPr>
              <w:pStyle w:val="6"/>
              <w:spacing w:before="3" w:line="219" w:lineRule="auto"/>
              <w:ind w:left="34"/>
              <w:rPr>
                <w:spacing w:val="3"/>
                <w:sz w:val="18"/>
                <w:szCs w:val="18"/>
              </w:rPr>
            </w:pPr>
          </w:p>
        </w:tc>
        <w:tc>
          <w:tcPr>
            <w:tcW w:w="1049" w:type="dxa"/>
            <w:tcBorders>
              <w:bottom w:val="single" w:color="auto" w:sz="4" w:space="0"/>
            </w:tcBorders>
            <w:vAlign w:val="top"/>
          </w:tcPr>
          <w:p w14:paraId="366DCD06">
            <w:pPr>
              <w:pStyle w:val="6"/>
              <w:spacing w:before="3" w:line="219" w:lineRule="auto"/>
              <w:ind w:left="34"/>
              <w:rPr>
                <w:spacing w:val="3"/>
                <w:sz w:val="18"/>
                <w:szCs w:val="18"/>
              </w:rPr>
            </w:pPr>
          </w:p>
        </w:tc>
      </w:tr>
      <w:tr w14:paraId="1F8FD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588" w:type="dxa"/>
            <w:vMerge w:val="continue"/>
            <w:tcBorders>
              <w:top w:val="single" w:color="auto" w:sz="4" w:space="0"/>
              <w:bottom w:val="single" w:color="auto" w:sz="4" w:space="0"/>
            </w:tcBorders>
            <w:vAlign w:val="top"/>
          </w:tcPr>
          <w:p w14:paraId="6B79585E">
            <w:pPr>
              <w:rPr>
                <w:rFonts w:ascii="Arial"/>
                <w:sz w:val="21"/>
              </w:rPr>
            </w:pPr>
          </w:p>
        </w:tc>
        <w:tc>
          <w:tcPr>
            <w:tcW w:w="638" w:type="dxa"/>
            <w:vMerge w:val="continue"/>
            <w:tcBorders>
              <w:top w:val="nil"/>
            </w:tcBorders>
            <w:vAlign w:val="top"/>
          </w:tcPr>
          <w:p w14:paraId="0BE578D0">
            <w:pPr>
              <w:rPr>
                <w:rFonts w:ascii="Arial"/>
                <w:sz w:val="21"/>
              </w:rPr>
            </w:pPr>
          </w:p>
        </w:tc>
        <w:tc>
          <w:tcPr>
            <w:tcW w:w="3571" w:type="dxa"/>
            <w:vMerge w:val="continue"/>
            <w:vAlign w:val="top"/>
          </w:tcPr>
          <w:p w14:paraId="1FB482D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54" w:type="dxa"/>
            <w:tcBorders>
              <w:top w:val="single" w:color="auto" w:sz="4" w:space="0"/>
            </w:tcBorders>
            <w:vAlign w:val="center"/>
          </w:tcPr>
          <w:p w14:paraId="5042633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3.任现职以来，辅导员、指导教师所带团队获得辖市(区)级以上学 生团体奖励3次以上或辖市(区)级以上学生个人奖励4次以上的荣誉 。区级2分、市级3分、省级及以上5分。(计最高分一次)</w:t>
            </w:r>
          </w:p>
          <w:p w14:paraId="6B9AD0B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1049" w:type="dxa"/>
            <w:tcBorders>
              <w:top w:val="single" w:color="auto" w:sz="4" w:space="0"/>
            </w:tcBorders>
            <w:vAlign w:val="top"/>
          </w:tcPr>
          <w:p w14:paraId="095E219B">
            <w:pPr>
              <w:rPr>
                <w:rFonts w:ascii="Arial"/>
                <w:sz w:val="21"/>
              </w:rPr>
            </w:pPr>
          </w:p>
        </w:tc>
        <w:tc>
          <w:tcPr>
            <w:tcW w:w="1049" w:type="dxa"/>
            <w:tcBorders>
              <w:top w:val="single" w:color="auto" w:sz="4" w:space="0"/>
            </w:tcBorders>
            <w:vAlign w:val="top"/>
          </w:tcPr>
          <w:p w14:paraId="4207CFE3">
            <w:pPr>
              <w:rPr>
                <w:rFonts w:ascii="Arial"/>
                <w:sz w:val="21"/>
              </w:rPr>
            </w:pPr>
          </w:p>
        </w:tc>
      </w:tr>
      <w:tr w14:paraId="20D9A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588" w:type="dxa"/>
            <w:vMerge w:val="continue"/>
            <w:tcBorders>
              <w:bottom w:val="single" w:color="auto" w:sz="4" w:space="0"/>
            </w:tcBorders>
            <w:vAlign w:val="top"/>
          </w:tcPr>
          <w:p w14:paraId="0937CCF9"/>
        </w:tc>
        <w:tc>
          <w:tcPr>
            <w:tcW w:w="638" w:type="dxa"/>
            <w:vMerge w:val="continue"/>
            <w:vAlign w:val="top"/>
          </w:tcPr>
          <w:p w14:paraId="6A0FE992"/>
        </w:tc>
        <w:tc>
          <w:tcPr>
            <w:tcW w:w="3571" w:type="dxa"/>
            <w:vMerge w:val="continue"/>
            <w:vAlign w:val="top"/>
          </w:tcPr>
          <w:p w14:paraId="45DA3220">
            <w:pPr>
              <w:rPr>
                <w:rFonts w:ascii="宋体" w:hAnsi="宋体" w:eastAsia="宋体" w:cs="宋体"/>
                <w:snapToGrid w:val="0"/>
                <w:color w:val="000000"/>
                <w:kern w:val="0"/>
                <w:sz w:val="17"/>
                <w:szCs w:val="17"/>
                <w:lang w:val="en-US" w:eastAsia="en-US" w:bidi="ar-SA"/>
              </w:rPr>
            </w:pPr>
          </w:p>
        </w:tc>
        <w:tc>
          <w:tcPr>
            <w:tcW w:w="7454" w:type="dxa"/>
            <w:tcBorders>
              <w:top w:val="nil"/>
            </w:tcBorders>
            <w:vAlign w:val="center"/>
          </w:tcPr>
          <w:p w14:paraId="14E08C2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14"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4.从教以来，参加过关心困境学生的帮扶转化活动。长期(1年以上) 系统性帮扶至少2名以上困境学生，有显著转化成果，获家长好评，形成可推广经验。由学校根据结对帮抚学生的年限、数量、效果等因素进行加1-5分。(不超过5分)。</w:t>
            </w:r>
          </w:p>
          <w:p w14:paraId="2A802860">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(本栏累计不超过30分)</w:t>
            </w:r>
          </w:p>
        </w:tc>
        <w:tc>
          <w:tcPr>
            <w:tcW w:w="1049" w:type="dxa"/>
            <w:vAlign w:val="top"/>
          </w:tcPr>
          <w:p w14:paraId="377145FE">
            <w:pPr>
              <w:rPr>
                <w:rFonts w:ascii="Arial"/>
                <w:sz w:val="21"/>
              </w:rPr>
            </w:pPr>
          </w:p>
        </w:tc>
        <w:tc>
          <w:tcPr>
            <w:tcW w:w="1049" w:type="dxa"/>
            <w:vAlign w:val="top"/>
          </w:tcPr>
          <w:p w14:paraId="44831B7C">
            <w:pPr>
              <w:rPr>
                <w:rFonts w:ascii="Arial"/>
                <w:sz w:val="21"/>
              </w:rPr>
            </w:pPr>
          </w:p>
        </w:tc>
      </w:tr>
    </w:tbl>
    <w:p w14:paraId="5C2315D9">
      <w:pPr>
        <w:pStyle w:val="2"/>
        <w:spacing w:line="356" w:lineRule="auto"/>
      </w:pPr>
    </w:p>
    <w:p w14:paraId="2FBEFA4E">
      <w:pPr>
        <w:pStyle w:val="2"/>
        <w:spacing w:line="251" w:lineRule="auto"/>
      </w:pPr>
    </w:p>
    <w:p w14:paraId="4B14532F">
      <w:pPr>
        <w:pStyle w:val="2"/>
        <w:spacing w:line="251" w:lineRule="auto"/>
      </w:pPr>
    </w:p>
    <w:p w14:paraId="2E23AD20">
      <w:pPr>
        <w:spacing w:line="217" w:lineRule="auto"/>
        <w:rPr>
          <w:rFonts w:ascii="宋体" w:hAnsi="宋体" w:eastAsia="宋体" w:cs="宋体"/>
          <w:sz w:val="12"/>
          <w:szCs w:val="12"/>
        </w:rPr>
        <w:sectPr>
          <w:pgSz w:w="16838" w:h="23811"/>
          <w:pgMar w:top="1431" w:right="703" w:bottom="0" w:left="974" w:header="0" w:footer="0" w:gutter="0"/>
          <w:pgBorders>
            <w:top w:val="none" w:sz="0" w:space="0"/>
            <w:left w:val="none" w:sz="0" w:space="0"/>
            <w:bottom w:val="none" w:sz="0" w:space="0"/>
            <w:right w:val="none" w:sz="0" w:space="0"/>
          </w:pgBorders>
          <w:cols w:space="720" w:num="1"/>
        </w:sectPr>
      </w:pPr>
    </w:p>
    <w:tbl>
      <w:tblPr>
        <w:tblStyle w:val="5"/>
        <w:tblW w:w="14363" w:type="dxa"/>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641"/>
        <w:gridCol w:w="3566"/>
        <w:gridCol w:w="7442"/>
        <w:gridCol w:w="1050"/>
        <w:gridCol w:w="1050"/>
      </w:tblGrid>
      <w:tr w14:paraId="11135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4" w:type="dxa"/>
            <w:vAlign w:val="top"/>
          </w:tcPr>
          <w:p w14:paraId="44D0FDDA">
            <w:pPr>
              <w:pStyle w:val="6"/>
              <w:spacing w:before="132" w:line="221" w:lineRule="auto"/>
              <w:ind w:left="54"/>
              <w:rPr>
                <w:spacing w:val="-2"/>
              </w:rPr>
            </w:pPr>
          </w:p>
        </w:tc>
        <w:tc>
          <w:tcPr>
            <w:tcW w:w="641" w:type="dxa"/>
            <w:vAlign w:val="top"/>
          </w:tcPr>
          <w:p w14:paraId="5D707302">
            <w:pPr>
              <w:pStyle w:val="6"/>
              <w:spacing w:before="132" w:line="221" w:lineRule="auto"/>
              <w:ind w:left="54"/>
              <w:jc w:val="center"/>
              <w:rPr>
                <w:spacing w:val="-2"/>
              </w:rPr>
            </w:pPr>
            <w:r>
              <w:rPr>
                <w:spacing w:val="-2"/>
              </w:rPr>
              <w:t>类别</w:t>
            </w:r>
          </w:p>
        </w:tc>
        <w:tc>
          <w:tcPr>
            <w:tcW w:w="3566" w:type="dxa"/>
            <w:vAlign w:val="top"/>
          </w:tcPr>
          <w:p w14:paraId="1043E2C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评价标准</w:t>
            </w:r>
          </w:p>
        </w:tc>
        <w:tc>
          <w:tcPr>
            <w:tcW w:w="7442" w:type="dxa"/>
            <w:vAlign w:val="top"/>
          </w:tcPr>
          <w:p w14:paraId="6A18CD5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center"/>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加分项(武进区)</w:t>
            </w:r>
          </w:p>
        </w:tc>
        <w:tc>
          <w:tcPr>
            <w:tcW w:w="1050" w:type="dxa"/>
            <w:shd w:val="clear" w:color="auto" w:fill="auto"/>
            <w:vAlign w:val="center"/>
          </w:tcPr>
          <w:p w14:paraId="19ABD437">
            <w:pPr>
              <w:pStyle w:val="6"/>
              <w:spacing w:before="132" w:line="221" w:lineRule="auto"/>
              <w:ind w:left="54" w:leftChars="0"/>
              <w:jc w:val="center"/>
              <w:rPr>
                <w:rFonts w:ascii="宋体" w:hAnsi="宋体" w:eastAsia="宋体" w:cs="宋体"/>
                <w:snapToGrid w:val="0"/>
                <w:color w:val="000000"/>
                <w:spacing w:val="-2"/>
                <w:kern w:val="0"/>
                <w:sz w:val="16"/>
                <w:szCs w:val="16"/>
                <w:lang w:val="en-US" w:eastAsia="en-US" w:bidi="ar-SA"/>
              </w:rPr>
            </w:pPr>
            <w:r>
              <w:rPr>
                <w:rFonts w:hint="eastAsia"/>
                <w:spacing w:val="-2"/>
                <w:lang w:val="en-US" w:eastAsia="zh-CN"/>
              </w:rPr>
              <w:t>自评分</w:t>
            </w:r>
          </w:p>
        </w:tc>
        <w:tc>
          <w:tcPr>
            <w:tcW w:w="1050" w:type="dxa"/>
            <w:shd w:val="clear" w:color="auto" w:fill="auto"/>
            <w:vAlign w:val="center"/>
          </w:tcPr>
          <w:p w14:paraId="1FBD2737">
            <w:pPr>
              <w:pStyle w:val="6"/>
              <w:spacing w:before="132" w:line="221" w:lineRule="auto"/>
              <w:ind w:left="54" w:leftChars="0"/>
              <w:jc w:val="center"/>
              <w:rPr>
                <w:rFonts w:ascii="宋体" w:hAnsi="宋体" w:eastAsia="宋体" w:cs="宋体"/>
                <w:snapToGrid w:val="0"/>
                <w:color w:val="000000"/>
                <w:spacing w:val="-2"/>
                <w:kern w:val="0"/>
                <w:sz w:val="16"/>
                <w:szCs w:val="16"/>
                <w:lang w:val="en-US" w:eastAsia="en-US" w:bidi="ar-SA"/>
              </w:rPr>
            </w:pPr>
            <w:r>
              <w:rPr>
                <w:rFonts w:hint="eastAsia"/>
                <w:spacing w:val="-2"/>
                <w:lang w:val="en-US" w:eastAsia="zh-CN"/>
              </w:rPr>
              <w:t>审核分</w:t>
            </w:r>
          </w:p>
        </w:tc>
      </w:tr>
      <w:tr w14:paraId="54913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14" w:type="dxa"/>
            <w:vMerge w:val="restart"/>
            <w:tcBorders>
              <w:bottom w:val="single" w:color="auto" w:sz="4" w:space="0"/>
            </w:tcBorders>
            <w:vAlign w:val="top"/>
          </w:tcPr>
          <w:p w14:paraId="200E8751">
            <w:pPr>
              <w:spacing w:line="273" w:lineRule="auto"/>
              <w:rPr>
                <w:rFonts w:ascii="Arial"/>
                <w:sz w:val="21"/>
              </w:rPr>
            </w:pPr>
          </w:p>
          <w:p w14:paraId="1DE4BD6A">
            <w:pPr>
              <w:spacing w:line="274" w:lineRule="auto"/>
              <w:rPr>
                <w:rFonts w:ascii="Arial"/>
                <w:sz w:val="21"/>
              </w:rPr>
            </w:pPr>
          </w:p>
          <w:p w14:paraId="472474FF">
            <w:pPr>
              <w:spacing w:line="274" w:lineRule="auto"/>
              <w:rPr>
                <w:rFonts w:ascii="Arial"/>
                <w:sz w:val="21"/>
              </w:rPr>
            </w:pPr>
          </w:p>
          <w:p w14:paraId="576003E8">
            <w:pPr>
              <w:spacing w:line="274" w:lineRule="auto"/>
              <w:rPr>
                <w:rFonts w:ascii="Arial"/>
                <w:sz w:val="21"/>
              </w:rPr>
            </w:pPr>
          </w:p>
          <w:p w14:paraId="1254B066">
            <w:pPr>
              <w:spacing w:line="274" w:lineRule="auto"/>
              <w:rPr>
                <w:rFonts w:ascii="Arial"/>
                <w:sz w:val="21"/>
              </w:rPr>
            </w:pPr>
          </w:p>
          <w:p w14:paraId="41A28B5B">
            <w:pPr>
              <w:spacing w:line="274" w:lineRule="auto"/>
              <w:rPr>
                <w:rFonts w:ascii="Arial"/>
                <w:sz w:val="21"/>
              </w:rPr>
            </w:pPr>
          </w:p>
          <w:p w14:paraId="258AA805">
            <w:pPr>
              <w:spacing w:line="274" w:lineRule="auto"/>
              <w:rPr>
                <w:rFonts w:ascii="Arial"/>
                <w:sz w:val="21"/>
              </w:rPr>
            </w:pPr>
          </w:p>
          <w:p w14:paraId="0D6D4895">
            <w:pPr>
              <w:pStyle w:val="6"/>
              <w:spacing w:before="55"/>
              <w:ind w:left="165" w:firstLine="170" w:firstLineChars="100"/>
              <w:rPr>
                <w:sz w:val="17"/>
                <w:szCs w:val="17"/>
              </w:rPr>
            </w:pPr>
            <w:r>
              <w:rPr>
                <w:sz w:val="17"/>
                <w:szCs w:val="17"/>
              </w:rPr>
              <w:t>6</w:t>
            </w:r>
          </w:p>
        </w:tc>
        <w:tc>
          <w:tcPr>
            <w:tcW w:w="641" w:type="dxa"/>
            <w:vMerge w:val="restart"/>
            <w:tcBorders>
              <w:bottom w:val="single" w:color="auto" w:sz="4" w:space="0"/>
            </w:tcBorders>
            <w:vAlign w:val="top"/>
          </w:tcPr>
          <w:p w14:paraId="58819D04">
            <w:pPr>
              <w:spacing w:line="271" w:lineRule="auto"/>
              <w:rPr>
                <w:rFonts w:ascii="Arial"/>
                <w:sz w:val="21"/>
              </w:rPr>
            </w:pPr>
          </w:p>
          <w:p w14:paraId="57AFC564">
            <w:pPr>
              <w:spacing w:line="271" w:lineRule="auto"/>
              <w:rPr>
                <w:rFonts w:ascii="Arial"/>
                <w:sz w:val="21"/>
              </w:rPr>
            </w:pPr>
          </w:p>
          <w:p w14:paraId="1D314653">
            <w:pPr>
              <w:spacing w:line="271" w:lineRule="auto"/>
              <w:rPr>
                <w:rFonts w:ascii="Arial"/>
                <w:sz w:val="21"/>
              </w:rPr>
            </w:pPr>
          </w:p>
          <w:p w14:paraId="38C28E57">
            <w:pPr>
              <w:spacing w:line="272" w:lineRule="auto"/>
              <w:rPr>
                <w:rFonts w:ascii="Arial"/>
                <w:sz w:val="21"/>
              </w:rPr>
            </w:pPr>
          </w:p>
          <w:p w14:paraId="20BB221A">
            <w:pPr>
              <w:spacing w:line="272" w:lineRule="auto"/>
              <w:rPr>
                <w:rFonts w:ascii="Arial"/>
                <w:sz w:val="21"/>
              </w:rPr>
            </w:pPr>
          </w:p>
          <w:p w14:paraId="2598CEB1">
            <w:pPr>
              <w:spacing w:line="272" w:lineRule="auto"/>
              <w:rPr>
                <w:rFonts w:ascii="Arial"/>
                <w:sz w:val="21"/>
              </w:rPr>
            </w:pPr>
          </w:p>
          <w:p w14:paraId="44E976CF">
            <w:pPr>
              <w:spacing w:line="272" w:lineRule="auto"/>
              <w:rPr>
                <w:rFonts w:ascii="Arial"/>
                <w:sz w:val="21"/>
              </w:rPr>
            </w:pPr>
          </w:p>
          <w:p w14:paraId="5703D377">
            <w:pPr>
              <w:pStyle w:val="6"/>
              <w:spacing w:before="55" w:line="219" w:lineRule="auto"/>
              <w:ind w:left="140"/>
              <w:rPr>
                <w:sz w:val="17"/>
                <w:szCs w:val="17"/>
              </w:rPr>
            </w:pPr>
            <w:r>
              <w:rPr>
                <w:spacing w:val="-2"/>
                <w:sz w:val="17"/>
                <w:szCs w:val="17"/>
              </w:rPr>
              <w:t>教学工作</w:t>
            </w:r>
          </w:p>
        </w:tc>
        <w:tc>
          <w:tcPr>
            <w:tcW w:w="3566" w:type="dxa"/>
            <w:vMerge w:val="restart"/>
            <w:tcBorders>
              <w:bottom w:val="single" w:color="auto" w:sz="4" w:space="0"/>
            </w:tcBorders>
            <w:vAlign w:val="top"/>
          </w:tcPr>
          <w:p w14:paraId="3DD2230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1.任现职以来，教学工作满工作量。近5年至少4年担任申报学科教学工作。</w:t>
            </w:r>
          </w:p>
          <w:p w14:paraId="50A3ECE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2.任现职以来，担任过1次大循环或2次以上小循环教学工作；或担任教研组长2年以上；或担任毕业班教学工作3年以上(小学毕业班教学仅限语文、数学、英语)</w:t>
            </w:r>
            <w:r>
              <w:rPr>
                <w:rFonts w:hint="eastAsia" w:cs="宋体"/>
                <w:snapToGrid w:val="0"/>
                <w:color w:val="000000"/>
                <w:kern w:val="0"/>
                <w:sz w:val="17"/>
                <w:szCs w:val="17"/>
                <w:lang w:val="en-US" w:eastAsia="zh-CN" w:bidi="ar-SA"/>
              </w:rPr>
              <w:t>；</w:t>
            </w:r>
            <w:r>
              <w:rPr>
                <w:rFonts w:ascii="宋体" w:hAnsi="宋体" w:eastAsia="宋体" w:cs="宋体"/>
                <w:snapToGrid w:val="0"/>
                <w:color w:val="000000"/>
                <w:kern w:val="0"/>
                <w:sz w:val="17"/>
                <w:szCs w:val="17"/>
                <w:lang w:val="en-US" w:eastAsia="en-US" w:bidi="ar-SA"/>
              </w:rPr>
              <w:t>或从教以来，任教中考或高考科目，担任过2次以上循环教学工作；任教非中考或非高考科目，担任过3次以上循环教学工作。</w:t>
            </w:r>
          </w:p>
          <w:p w14:paraId="3A0239C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具有博士学位的教师，任现职以来，担任过1次小循环或担任毕业班教学工作1年以上。</w:t>
            </w:r>
          </w:p>
          <w:p w14:paraId="43F9195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3.任现职以来，开设过本学科校级以上研究课5次以上，其中校际间研究课2次和辖市(区)级以上研究课1次；或评优课(教学基本功竞赛、信息化能手大赛) 获得辖市(区)级二等奖以上奖励；或乡村教师任开设过校级以上研究课5次以上。</w:t>
            </w:r>
          </w:p>
        </w:tc>
        <w:tc>
          <w:tcPr>
            <w:tcW w:w="7442" w:type="dxa"/>
            <w:tcBorders>
              <w:bottom w:val="single" w:color="auto" w:sz="4" w:space="0"/>
            </w:tcBorders>
            <w:vAlign w:val="center"/>
          </w:tcPr>
          <w:p w14:paraId="16F2671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1.从教以来，五级阶梯人才证明。市新秀1分、市能手/区骨干2分、市骨干/区学带3分、市学带5分。(计最高分一次)</w:t>
            </w:r>
          </w:p>
        </w:tc>
        <w:tc>
          <w:tcPr>
            <w:tcW w:w="1050" w:type="dxa"/>
            <w:tcBorders>
              <w:bottom w:val="single" w:color="auto" w:sz="4" w:space="0"/>
            </w:tcBorders>
            <w:vAlign w:val="top"/>
          </w:tcPr>
          <w:p w14:paraId="02CF8A2A">
            <w:pPr>
              <w:pStyle w:val="6"/>
              <w:spacing w:before="1" w:line="218" w:lineRule="auto"/>
              <w:ind w:left="95"/>
              <w:rPr>
                <w:spacing w:val="3"/>
                <w:sz w:val="17"/>
                <w:szCs w:val="17"/>
              </w:rPr>
            </w:pPr>
          </w:p>
        </w:tc>
        <w:tc>
          <w:tcPr>
            <w:tcW w:w="1050" w:type="dxa"/>
            <w:tcBorders>
              <w:bottom w:val="single" w:color="auto" w:sz="4" w:space="0"/>
            </w:tcBorders>
            <w:vAlign w:val="top"/>
          </w:tcPr>
          <w:p w14:paraId="7EFAFC98">
            <w:pPr>
              <w:pStyle w:val="6"/>
              <w:spacing w:before="1" w:line="218" w:lineRule="auto"/>
              <w:ind w:left="95"/>
              <w:rPr>
                <w:spacing w:val="3"/>
                <w:sz w:val="17"/>
                <w:szCs w:val="17"/>
              </w:rPr>
            </w:pPr>
          </w:p>
        </w:tc>
      </w:tr>
      <w:tr w14:paraId="25A0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614" w:type="dxa"/>
            <w:vMerge w:val="continue"/>
            <w:tcBorders>
              <w:top w:val="single" w:color="auto" w:sz="4" w:space="0"/>
              <w:bottom w:val="single" w:color="auto" w:sz="4" w:space="0"/>
            </w:tcBorders>
            <w:vAlign w:val="top"/>
          </w:tcPr>
          <w:p w14:paraId="3DA741D8">
            <w:pPr>
              <w:rPr>
                <w:rFonts w:ascii="Arial"/>
                <w:sz w:val="21"/>
              </w:rPr>
            </w:pPr>
          </w:p>
        </w:tc>
        <w:tc>
          <w:tcPr>
            <w:tcW w:w="641" w:type="dxa"/>
            <w:vMerge w:val="continue"/>
            <w:tcBorders>
              <w:top w:val="single" w:color="auto" w:sz="4" w:space="0"/>
              <w:bottom w:val="single" w:color="auto" w:sz="4" w:space="0"/>
            </w:tcBorders>
            <w:vAlign w:val="top"/>
          </w:tcPr>
          <w:p w14:paraId="41C2427F">
            <w:pPr>
              <w:rPr>
                <w:rFonts w:ascii="Arial"/>
                <w:sz w:val="21"/>
              </w:rPr>
            </w:pPr>
          </w:p>
        </w:tc>
        <w:tc>
          <w:tcPr>
            <w:tcW w:w="3566" w:type="dxa"/>
            <w:vMerge w:val="continue"/>
            <w:tcBorders>
              <w:top w:val="single" w:color="auto" w:sz="4" w:space="0"/>
              <w:bottom w:val="single" w:color="auto" w:sz="4" w:space="0"/>
            </w:tcBorders>
            <w:vAlign w:val="top"/>
          </w:tcPr>
          <w:p w14:paraId="45BC280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42" w:type="dxa"/>
            <w:tcBorders>
              <w:top w:val="single" w:color="auto" w:sz="4" w:space="0"/>
              <w:bottom w:val="single" w:color="auto" w:sz="4" w:space="0"/>
            </w:tcBorders>
            <w:vAlign w:val="center"/>
          </w:tcPr>
          <w:p w14:paraId="264123A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2.毕业班和循环教学经历证明。任现职以来，每完成1次大循环/2次小 循环/3年毕业班(小学毕业班教学仅限语文、数学、英语),加1分；或从教以来，任教中考或高考科目，每担任过2次循环教学工作加1分；任教非中考或非高考科目，每担任过3次以上循环教学工作加1分 。(最高限5分)</w:t>
            </w:r>
          </w:p>
        </w:tc>
        <w:tc>
          <w:tcPr>
            <w:tcW w:w="1050" w:type="dxa"/>
            <w:tcBorders>
              <w:top w:val="single" w:color="auto" w:sz="4" w:space="0"/>
              <w:bottom w:val="single" w:color="auto" w:sz="4" w:space="0"/>
            </w:tcBorders>
            <w:vAlign w:val="top"/>
          </w:tcPr>
          <w:p w14:paraId="1F64DA43">
            <w:pPr>
              <w:rPr>
                <w:rFonts w:ascii="Arial"/>
                <w:sz w:val="21"/>
              </w:rPr>
            </w:pPr>
          </w:p>
        </w:tc>
        <w:tc>
          <w:tcPr>
            <w:tcW w:w="1050" w:type="dxa"/>
            <w:tcBorders>
              <w:top w:val="single" w:color="auto" w:sz="4" w:space="0"/>
              <w:bottom w:val="single" w:color="auto" w:sz="4" w:space="0"/>
            </w:tcBorders>
            <w:vAlign w:val="top"/>
          </w:tcPr>
          <w:p w14:paraId="2ED97E65">
            <w:pPr>
              <w:rPr>
                <w:rFonts w:ascii="Arial"/>
                <w:sz w:val="21"/>
              </w:rPr>
            </w:pPr>
          </w:p>
        </w:tc>
      </w:tr>
      <w:tr w14:paraId="78CFB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614" w:type="dxa"/>
            <w:vMerge w:val="continue"/>
            <w:tcBorders>
              <w:top w:val="single" w:color="auto" w:sz="4" w:space="0"/>
              <w:bottom w:val="single" w:color="auto" w:sz="4" w:space="0"/>
            </w:tcBorders>
            <w:vAlign w:val="top"/>
          </w:tcPr>
          <w:p w14:paraId="754FF4DF"/>
        </w:tc>
        <w:tc>
          <w:tcPr>
            <w:tcW w:w="641" w:type="dxa"/>
            <w:vMerge w:val="continue"/>
            <w:tcBorders>
              <w:top w:val="single" w:color="auto" w:sz="4" w:space="0"/>
              <w:bottom w:val="single" w:color="auto" w:sz="4" w:space="0"/>
            </w:tcBorders>
            <w:vAlign w:val="top"/>
          </w:tcPr>
          <w:p w14:paraId="38FBD317"/>
        </w:tc>
        <w:tc>
          <w:tcPr>
            <w:tcW w:w="3566" w:type="dxa"/>
            <w:vMerge w:val="continue"/>
            <w:tcBorders>
              <w:top w:val="single" w:color="auto" w:sz="4" w:space="0"/>
              <w:bottom w:val="single" w:color="auto" w:sz="4" w:space="0"/>
            </w:tcBorders>
            <w:vAlign w:val="top"/>
          </w:tcPr>
          <w:p w14:paraId="64802678">
            <w:pPr>
              <w:rPr>
                <w:rFonts w:ascii="宋体" w:hAnsi="宋体" w:eastAsia="宋体" w:cs="宋体"/>
                <w:snapToGrid w:val="0"/>
                <w:color w:val="000000"/>
                <w:kern w:val="0"/>
                <w:sz w:val="17"/>
                <w:szCs w:val="17"/>
                <w:lang w:val="en-US" w:eastAsia="en-US" w:bidi="ar-SA"/>
              </w:rPr>
            </w:pPr>
          </w:p>
        </w:tc>
        <w:tc>
          <w:tcPr>
            <w:tcW w:w="7442" w:type="dxa"/>
            <w:tcBorders>
              <w:top w:val="single" w:color="auto" w:sz="4" w:space="0"/>
              <w:bottom w:val="single" w:color="auto" w:sz="4" w:space="0"/>
            </w:tcBorders>
            <w:vAlign w:val="center"/>
          </w:tcPr>
          <w:p w14:paraId="75054F2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24" w:right="11"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3.中小学研究课证明。任现职以来，开设公开课或讲座，区级1分、市级(含精品课)3分、省级及以上(含教学新时空、名师空中课堂)5分。(只计一项最高分)</w:t>
            </w:r>
          </w:p>
        </w:tc>
        <w:tc>
          <w:tcPr>
            <w:tcW w:w="1050" w:type="dxa"/>
            <w:tcBorders>
              <w:top w:val="single" w:color="auto" w:sz="4" w:space="0"/>
              <w:bottom w:val="single" w:color="auto" w:sz="4" w:space="0"/>
            </w:tcBorders>
            <w:vAlign w:val="top"/>
          </w:tcPr>
          <w:p w14:paraId="4960A44F">
            <w:pPr>
              <w:rPr>
                <w:rFonts w:ascii="Arial"/>
                <w:sz w:val="21"/>
              </w:rPr>
            </w:pPr>
          </w:p>
        </w:tc>
        <w:tc>
          <w:tcPr>
            <w:tcW w:w="1050" w:type="dxa"/>
            <w:tcBorders>
              <w:top w:val="single" w:color="auto" w:sz="4" w:space="0"/>
              <w:bottom w:val="single" w:color="auto" w:sz="4" w:space="0"/>
            </w:tcBorders>
            <w:vAlign w:val="top"/>
          </w:tcPr>
          <w:p w14:paraId="7114EE70">
            <w:pPr>
              <w:rPr>
                <w:rFonts w:ascii="Arial"/>
                <w:sz w:val="21"/>
              </w:rPr>
            </w:pPr>
          </w:p>
        </w:tc>
      </w:tr>
      <w:tr w14:paraId="55FE0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614" w:type="dxa"/>
            <w:vMerge w:val="continue"/>
            <w:tcBorders>
              <w:top w:val="single" w:color="auto" w:sz="4" w:space="0"/>
              <w:bottom w:val="single" w:color="auto" w:sz="4" w:space="0"/>
            </w:tcBorders>
            <w:vAlign w:val="top"/>
          </w:tcPr>
          <w:p w14:paraId="7FEDE414">
            <w:pPr>
              <w:rPr>
                <w:rFonts w:ascii="Arial"/>
                <w:sz w:val="21"/>
              </w:rPr>
            </w:pPr>
          </w:p>
        </w:tc>
        <w:tc>
          <w:tcPr>
            <w:tcW w:w="641" w:type="dxa"/>
            <w:vMerge w:val="continue"/>
            <w:tcBorders>
              <w:top w:val="single" w:color="auto" w:sz="4" w:space="0"/>
              <w:bottom w:val="single" w:color="auto" w:sz="4" w:space="0"/>
            </w:tcBorders>
            <w:vAlign w:val="top"/>
          </w:tcPr>
          <w:p w14:paraId="2258AC4F">
            <w:pPr>
              <w:rPr>
                <w:rFonts w:ascii="Arial"/>
                <w:sz w:val="21"/>
              </w:rPr>
            </w:pPr>
          </w:p>
        </w:tc>
        <w:tc>
          <w:tcPr>
            <w:tcW w:w="3566" w:type="dxa"/>
            <w:vMerge w:val="continue"/>
            <w:tcBorders>
              <w:top w:val="single" w:color="auto" w:sz="4" w:space="0"/>
              <w:bottom w:val="single" w:color="auto" w:sz="4" w:space="0"/>
            </w:tcBorders>
            <w:vAlign w:val="top"/>
          </w:tcPr>
          <w:p w14:paraId="65C4C32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42" w:type="dxa"/>
            <w:tcBorders>
              <w:top w:val="single" w:color="auto" w:sz="4" w:space="0"/>
              <w:bottom w:val="single" w:color="auto" w:sz="4" w:space="0"/>
            </w:tcBorders>
            <w:vAlign w:val="center"/>
          </w:tcPr>
          <w:p w14:paraId="1AF5A7D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4.评优课、基本功竞赛、信息化能手大赛获奖证明。任现职以来，区二2分，区一/市二5分，市一/省二10分，省一及以上15分。(只计一项最高分)</w:t>
            </w:r>
          </w:p>
        </w:tc>
        <w:tc>
          <w:tcPr>
            <w:tcW w:w="1050" w:type="dxa"/>
            <w:tcBorders>
              <w:top w:val="single" w:color="auto" w:sz="4" w:space="0"/>
              <w:bottom w:val="single" w:color="auto" w:sz="4" w:space="0"/>
            </w:tcBorders>
            <w:vAlign w:val="top"/>
          </w:tcPr>
          <w:p w14:paraId="47FBCBC9">
            <w:pPr>
              <w:rPr>
                <w:rFonts w:ascii="Arial"/>
                <w:sz w:val="21"/>
              </w:rPr>
            </w:pPr>
          </w:p>
        </w:tc>
        <w:tc>
          <w:tcPr>
            <w:tcW w:w="1050" w:type="dxa"/>
            <w:tcBorders>
              <w:top w:val="single" w:color="auto" w:sz="4" w:space="0"/>
              <w:bottom w:val="single" w:color="auto" w:sz="4" w:space="0"/>
            </w:tcBorders>
            <w:vAlign w:val="top"/>
          </w:tcPr>
          <w:p w14:paraId="0A5661D5">
            <w:pPr>
              <w:rPr>
                <w:rFonts w:ascii="Arial"/>
                <w:sz w:val="21"/>
              </w:rPr>
            </w:pPr>
          </w:p>
        </w:tc>
      </w:tr>
      <w:tr w14:paraId="37E96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614" w:type="dxa"/>
            <w:vMerge w:val="continue"/>
            <w:tcBorders>
              <w:top w:val="single" w:color="auto" w:sz="4" w:space="0"/>
            </w:tcBorders>
            <w:vAlign w:val="top"/>
          </w:tcPr>
          <w:p w14:paraId="18EE7561"/>
        </w:tc>
        <w:tc>
          <w:tcPr>
            <w:tcW w:w="641" w:type="dxa"/>
            <w:vMerge w:val="continue"/>
            <w:tcBorders>
              <w:top w:val="single" w:color="auto" w:sz="4" w:space="0"/>
            </w:tcBorders>
            <w:vAlign w:val="top"/>
          </w:tcPr>
          <w:p w14:paraId="6D196838"/>
        </w:tc>
        <w:tc>
          <w:tcPr>
            <w:tcW w:w="3566" w:type="dxa"/>
            <w:vMerge w:val="continue"/>
            <w:tcBorders>
              <w:top w:val="single" w:color="auto" w:sz="4" w:space="0"/>
            </w:tcBorders>
            <w:vAlign w:val="top"/>
          </w:tcPr>
          <w:p w14:paraId="4B418A6C">
            <w:pPr>
              <w:rPr>
                <w:rFonts w:ascii="宋体" w:hAnsi="宋体" w:eastAsia="宋体" w:cs="宋体"/>
                <w:snapToGrid w:val="0"/>
                <w:color w:val="000000"/>
                <w:kern w:val="0"/>
                <w:sz w:val="17"/>
                <w:szCs w:val="17"/>
                <w:lang w:val="en-US" w:eastAsia="en-US" w:bidi="ar-SA"/>
              </w:rPr>
            </w:pPr>
          </w:p>
        </w:tc>
        <w:tc>
          <w:tcPr>
            <w:tcW w:w="7442" w:type="dxa"/>
            <w:tcBorders>
              <w:top w:val="single" w:color="auto" w:sz="4" w:space="0"/>
            </w:tcBorders>
            <w:vAlign w:val="center"/>
          </w:tcPr>
          <w:p w14:paraId="484089A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14" w:right="117"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5.外派支教证明(或支援乡村学校的证明)。任现职以来，援新、援青、援陕1.5年4分，3年及以上8分(最高限8分)</w:t>
            </w:r>
            <w:r>
              <w:rPr>
                <w:rFonts w:hint="eastAsia" w:cs="宋体"/>
                <w:snapToGrid w:val="0"/>
                <w:color w:val="000000"/>
                <w:kern w:val="0"/>
                <w:sz w:val="17"/>
                <w:szCs w:val="17"/>
                <w:lang w:val="en-US" w:eastAsia="zh-CN" w:bidi="ar-SA"/>
              </w:rPr>
              <w:t>；</w:t>
            </w:r>
            <w:r>
              <w:rPr>
                <w:rFonts w:ascii="宋体" w:hAnsi="宋体" w:eastAsia="宋体" w:cs="宋体"/>
                <w:snapToGrid w:val="0"/>
                <w:color w:val="000000"/>
                <w:kern w:val="0"/>
                <w:sz w:val="17"/>
                <w:szCs w:val="17"/>
                <w:lang w:val="en-US" w:eastAsia="en-US" w:bidi="ar-SA"/>
              </w:rPr>
              <w:t>城区学校教师到乡村学校顶岗交流一轮(2年)2分，两轮(4年)4分(以上乡村学校仅限坐落于雪堰镇、洛阳镇、前黄镇、礼嘉镇、嘉泽镇、湟里镇的中小学)</w:t>
            </w:r>
            <w:r>
              <w:rPr>
                <w:rFonts w:hint="eastAsia" w:cs="宋体"/>
                <w:snapToGrid w:val="0"/>
                <w:color w:val="000000"/>
                <w:kern w:val="0"/>
                <w:sz w:val="17"/>
                <w:szCs w:val="17"/>
                <w:lang w:val="en-US" w:eastAsia="zh-CN" w:bidi="ar-SA"/>
              </w:rPr>
              <w:t>；</w:t>
            </w:r>
            <w:r>
              <w:rPr>
                <w:rFonts w:ascii="宋体" w:hAnsi="宋体" w:eastAsia="宋体" w:cs="宋体"/>
                <w:snapToGrid w:val="0"/>
                <w:color w:val="000000"/>
                <w:kern w:val="0"/>
                <w:sz w:val="17"/>
                <w:szCs w:val="17"/>
                <w:lang w:val="en-US" w:eastAsia="en-US" w:bidi="ar-SA"/>
              </w:rPr>
              <w:t>其他顶岗交流教师两轮(4年)2分，三轮(6年)4分(最高限4分)。</w:t>
            </w:r>
          </w:p>
          <w:p w14:paraId="62CFD5EE">
            <w:pPr>
              <w:keepNext w:val="0"/>
              <w:keepLines w:val="0"/>
              <w:pageBreakBefore w:val="0"/>
              <w:widowControl/>
              <w:kinsoku w:val="0"/>
              <w:wordWrap/>
              <w:overflowPunct/>
              <w:topLinePunct w:val="0"/>
              <w:autoSpaceDE w:val="0"/>
              <w:autoSpaceDN w:val="0"/>
              <w:bidi w:val="0"/>
              <w:adjustRightInd w:val="0"/>
              <w:snapToGrid w:val="0"/>
              <w:spacing w:line="360" w:lineRule="exact"/>
              <w:ind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(本栏累计不超过30分)</w:t>
            </w:r>
          </w:p>
        </w:tc>
        <w:tc>
          <w:tcPr>
            <w:tcW w:w="1050" w:type="dxa"/>
            <w:tcBorders>
              <w:top w:val="single" w:color="auto" w:sz="4" w:space="0"/>
            </w:tcBorders>
            <w:vAlign w:val="top"/>
          </w:tcPr>
          <w:p w14:paraId="328CAD6C">
            <w:pPr>
              <w:rPr>
                <w:rFonts w:ascii="Arial"/>
                <w:sz w:val="21"/>
              </w:rPr>
            </w:pPr>
          </w:p>
        </w:tc>
        <w:tc>
          <w:tcPr>
            <w:tcW w:w="1050" w:type="dxa"/>
            <w:tcBorders>
              <w:top w:val="single" w:color="auto" w:sz="4" w:space="0"/>
            </w:tcBorders>
            <w:vAlign w:val="top"/>
          </w:tcPr>
          <w:p w14:paraId="54F9E350">
            <w:pPr>
              <w:rPr>
                <w:rFonts w:ascii="Arial"/>
                <w:sz w:val="21"/>
              </w:rPr>
            </w:pPr>
          </w:p>
        </w:tc>
      </w:tr>
      <w:tr w14:paraId="618A7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614" w:type="dxa"/>
            <w:vMerge w:val="restart"/>
            <w:vAlign w:val="top"/>
          </w:tcPr>
          <w:p w14:paraId="3587C6D9">
            <w:pPr>
              <w:spacing w:line="271" w:lineRule="auto"/>
              <w:rPr>
                <w:rFonts w:ascii="Arial"/>
                <w:sz w:val="21"/>
              </w:rPr>
            </w:pPr>
          </w:p>
          <w:p w14:paraId="68C30539">
            <w:pPr>
              <w:spacing w:line="271" w:lineRule="auto"/>
              <w:rPr>
                <w:rFonts w:ascii="Arial"/>
                <w:sz w:val="21"/>
              </w:rPr>
            </w:pPr>
          </w:p>
          <w:p w14:paraId="0FF610CE">
            <w:pPr>
              <w:spacing w:line="271" w:lineRule="auto"/>
              <w:rPr>
                <w:rFonts w:ascii="Arial"/>
                <w:sz w:val="21"/>
              </w:rPr>
            </w:pPr>
          </w:p>
          <w:p w14:paraId="0A72913B">
            <w:pPr>
              <w:spacing w:line="271" w:lineRule="auto"/>
              <w:rPr>
                <w:rFonts w:ascii="Arial"/>
                <w:sz w:val="21"/>
              </w:rPr>
            </w:pPr>
          </w:p>
          <w:p w14:paraId="1E7FAC9D">
            <w:pPr>
              <w:spacing w:line="271" w:lineRule="auto"/>
              <w:rPr>
                <w:rFonts w:ascii="Arial"/>
                <w:sz w:val="21"/>
              </w:rPr>
            </w:pPr>
          </w:p>
          <w:p w14:paraId="7900284F">
            <w:pPr>
              <w:spacing w:line="271" w:lineRule="auto"/>
              <w:rPr>
                <w:rFonts w:ascii="Arial"/>
                <w:sz w:val="21"/>
              </w:rPr>
            </w:pPr>
          </w:p>
          <w:p w14:paraId="6AE6C2BA">
            <w:pPr>
              <w:pStyle w:val="6"/>
              <w:spacing w:before="55"/>
              <w:ind w:left="165" w:firstLine="170" w:firstLineChars="100"/>
              <w:rPr>
                <w:sz w:val="17"/>
                <w:szCs w:val="17"/>
              </w:rPr>
            </w:pPr>
            <w:r>
              <w:rPr>
                <w:sz w:val="17"/>
                <w:szCs w:val="17"/>
              </w:rPr>
              <w:t>7</w:t>
            </w:r>
          </w:p>
        </w:tc>
        <w:tc>
          <w:tcPr>
            <w:tcW w:w="641" w:type="dxa"/>
            <w:vMerge w:val="restart"/>
            <w:vAlign w:val="top"/>
          </w:tcPr>
          <w:p w14:paraId="09510EDA">
            <w:pPr>
              <w:spacing w:line="263" w:lineRule="auto"/>
              <w:rPr>
                <w:rFonts w:ascii="Arial"/>
                <w:sz w:val="21"/>
              </w:rPr>
            </w:pPr>
          </w:p>
          <w:p w14:paraId="5AE7F427">
            <w:pPr>
              <w:spacing w:line="263" w:lineRule="auto"/>
              <w:rPr>
                <w:rFonts w:ascii="Arial"/>
                <w:sz w:val="21"/>
              </w:rPr>
            </w:pPr>
          </w:p>
          <w:p w14:paraId="6B49B788">
            <w:pPr>
              <w:spacing w:line="263" w:lineRule="auto"/>
              <w:rPr>
                <w:rFonts w:ascii="Arial"/>
                <w:sz w:val="21"/>
              </w:rPr>
            </w:pPr>
          </w:p>
          <w:p w14:paraId="3B649778">
            <w:pPr>
              <w:spacing w:line="263" w:lineRule="auto"/>
              <w:rPr>
                <w:rFonts w:ascii="Arial"/>
                <w:sz w:val="21"/>
              </w:rPr>
            </w:pPr>
          </w:p>
          <w:p w14:paraId="6A369415">
            <w:pPr>
              <w:spacing w:line="263" w:lineRule="auto"/>
              <w:rPr>
                <w:rFonts w:ascii="Arial"/>
                <w:sz w:val="21"/>
              </w:rPr>
            </w:pPr>
          </w:p>
          <w:p w14:paraId="6A115336">
            <w:pPr>
              <w:spacing w:line="263" w:lineRule="auto"/>
              <w:rPr>
                <w:rFonts w:ascii="Arial"/>
                <w:sz w:val="21"/>
              </w:rPr>
            </w:pPr>
          </w:p>
          <w:p w14:paraId="1DAAE58A">
            <w:pPr>
              <w:pStyle w:val="6"/>
              <w:spacing w:before="56" w:line="219" w:lineRule="auto"/>
              <w:ind w:left="220"/>
              <w:rPr>
                <w:sz w:val="17"/>
                <w:szCs w:val="17"/>
              </w:rPr>
            </w:pPr>
            <w:r>
              <w:rPr>
                <w:spacing w:val="-2"/>
                <w:sz w:val="17"/>
                <w:szCs w:val="17"/>
              </w:rPr>
              <w:t>教科研</w:t>
            </w:r>
          </w:p>
        </w:tc>
        <w:tc>
          <w:tcPr>
            <w:tcW w:w="3566" w:type="dxa"/>
            <w:vMerge w:val="restart"/>
            <w:vAlign w:val="top"/>
          </w:tcPr>
          <w:p w14:paraId="4451187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任现职以来：</w:t>
            </w:r>
          </w:p>
          <w:p w14:paraId="6C5AAF5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1.撰写1篇教育教学改革热点问题实践研究报告或学科育人真实案例。</w:t>
            </w:r>
          </w:p>
          <w:p w14:paraId="34C8339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主持过校级教科研项目研究，撰写研究报告并经鉴定结项；或担任辖市(区)级以上课题研究组成员并承担具体研究任务，有阶段研究小结并有鉴定意见或与课题相关的论文获奖或发表；或获得市级以上教科研成果奖(基础教育教学成果奖)。</w:t>
            </w:r>
          </w:p>
          <w:p w14:paraId="34330E0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3.在市级以上刊物公开发表本学科教育教学研究论文(案例)2篇以上(在市级以上教育行政部门组织或认可的教科研论文竞赛中获一等奖以上1次或二等奖2次，视同发表市级论文1篇)</w:t>
            </w:r>
            <w:r>
              <w:rPr>
                <w:rFonts w:hint="eastAsia" w:cs="宋体"/>
                <w:snapToGrid w:val="0"/>
                <w:color w:val="000000"/>
                <w:kern w:val="0"/>
                <w:sz w:val="17"/>
                <w:szCs w:val="17"/>
                <w:lang w:val="en-US" w:eastAsia="zh-CN" w:bidi="ar-SA"/>
              </w:rPr>
              <w:t>；</w:t>
            </w:r>
            <w:r>
              <w:rPr>
                <w:rFonts w:ascii="宋体" w:hAnsi="宋体" w:eastAsia="宋体" w:cs="宋体"/>
                <w:snapToGrid w:val="0"/>
                <w:color w:val="000000"/>
                <w:kern w:val="0"/>
                <w:sz w:val="17"/>
                <w:szCs w:val="17"/>
                <w:lang w:val="en-US" w:eastAsia="en-US" w:bidi="ar-SA"/>
              </w:rPr>
              <w:t>或正式出版过与本学科教育教学相关的专著,本人撰写3万字以上；或参加编写教材、撰写参考用书，本人撰写3万字以上。</w:t>
            </w:r>
          </w:p>
        </w:tc>
        <w:tc>
          <w:tcPr>
            <w:tcW w:w="7442" w:type="dxa"/>
            <w:vAlign w:val="center"/>
          </w:tcPr>
          <w:p w14:paraId="2DEACAB2">
            <w:pPr>
              <w:pStyle w:val="6"/>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ascii="宋体" w:hAnsi="宋体" w:eastAsia="宋体" w:cs="宋体"/>
                <w:snapToGrid w:val="0"/>
                <w:color w:val="000000"/>
                <w:kern w:val="0"/>
                <w:sz w:val="17"/>
                <w:szCs w:val="17"/>
                <w:lang w:val="en-US" w:eastAsia="en-US" w:bidi="ar-SA"/>
              </w:rPr>
            </w:pPr>
          </w:p>
          <w:p w14:paraId="72115FB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任现职以来：</w:t>
            </w:r>
          </w:p>
          <w:p w14:paraId="2F081DD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1.案例、论文、论著。论文发表省级期刊2分/篇、核心期刊5分/篇。 论文获奖市一/省二1分，省一2分。(可累计，最高限10分)说明：发表论文字数需2500字以上，一般应超过1个版面。</w:t>
            </w:r>
          </w:p>
          <w:p w14:paraId="7E149E6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1050" w:type="dxa"/>
            <w:tcBorders>
              <w:bottom w:val="single" w:color="auto" w:sz="4" w:space="0"/>
            </w:tcBorders>
            <w:vAlign w:val="top"/>
          </w:tcPr>
          <w:p w14:paraId="3105A1C4">
            <w:pPr>
              <w:pStyle w:val="6"/>
              <w:spacing w:before="2" w:line="206" w:lineRule="auto"/>
              <w:ind w:left="14" w:right="13" w:firstLine="9"/>
              <w:rPr>
                <w:sz w:val="17"/>
                <w:szCs w:val="17"/>
              </w:rPr>
            </w:pPr>
          </w:p>
        </w:tc>
        <w:tc>
          <w:tcPr>
            <w:tcW w:w="1050" w:type="dxa"/>
            <w:tcBorders>
              <w:bottom w:val="single" w:color="auto" w:sz="4" w:space="0"/>
            </w:tcBorders>
            <w:vAlign w:val="top"/>
          </w:tcPr>
          <w:p w14:paraId="4D5231D7">
            <w:pPr>
              <w:pStyle w:val="6"/>
              <w:spacing w:before="2" w:line="206" w:lineRule="auto"/>
              <w:ind w:left="14" w:right="13" w:firstLine="9"/>
              <w:rPr>
                <w:sz w:val="17"/>
                <w:szCs w:val="17"/>
              </w:rPr>
            </w:pPr>
          </w:p>
        </w:tc>
      </w:tr>
      <w:tr w14:paraId="47A7E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614" w:type="dxa"/>
            <w:vMerge w:val="continue"/>
            <w:vAlign w:val="top"/>
          </w:tcPr>
          <w:p w14:paraId="00F06EF2">
            <w:pPr>
              <w:rPr>
                <w:rFonts w:ascii="Arial"/>
                <w:sz w:val="21"/>
              </w:rPr>
            </w:pPr>
          </w:p>
        </w:tc>
        <w:tc>
          <w:tcPr>
            <w:tcW w:w="641" w:type="dxa"/>
            <w:vMerge w:val="continue"/>
            <w:vAlign w:val="top"/>
          </w:tcPr>
          <w:p w14:paraId="7ED93394">
            <w:pPr>
              <w:rPr>
                <w:rFonts w:ascii="Arial"/>
                <w:sz w:val="21"/>
              </w:rPr>
            </w:pPr>
          </w:p>
        </w:tc>
        <w:tc>
          <w:tcPr>
            <w:tcW w:w="3566" w:type="dxa"/>
            <w:vMerge w:val="continue"/>
            <w:vAlign w:val="top"/>
          </w:tcPr>
          <w:p w14:paraId="36688F9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42" w:type="dxa"/>
            <w:vAlign w:val="center"/>
          </w:tcPr>
          <w:p w14:paraId="0F635B2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教科研课题(项目)。参与区级2分、市级4分、省级6分、国家级8分；主持区级4分、市级6分、省级8分、国家级10分。此项包含规划课题和教科研课题，品格提升建设项目和前瞻性教学改革实验项目等基础教育内涵建设项目。(只计一项最高分)</w:t>
            </w:r>
          </w:p>
          <w:p w14:paraId="16BCFCB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1050" w:type="dxa"/>
            <w:tcBorders>
              <w:top w:val="single" w:color="auto" w:sz="4" w:space="0"/>
            </w:tcBorders>
            <w:vAlign w:val="top"/>
          </w:tcPr>
          <w:p w14:paraId="2ACAA662">
            <w:pPr>
              <w:rPr>
                <w:rFonts w:ascii="Arial"/>
                <w:sz w:val="21"/>
              </w:rPr>
            </w:pPr>
          </w:p>
        </w:tc>
        <w:tc>
          <w:tcPr>
            <w:tcW w:w="1050" w:type="dxa"/>
            <w:tcBorders>
              <w:top w:val="single" w:color="auto" w:sz="4" w:space="0"/>
            </w:tcBorders>
            <w:vAlign w:val="top"/>
          </w:tcPr>
          <w:p w14:paraId="1B9A25FD">
            <w:pPr>
              <w:rPr>
                <w:rFonts w:ascii="Arial"/>
                <w:sz w:val="21"/>
              </w:rPr>
            </w:pPr>
          </w:p>
        </w:tc>
      </w:tr>
      <w:tr w14:paraId="6EB15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614" w:type="dxa"/>
            <w:vMerge w:val="continue"/>
            <w:vAlign w:val="top"/>
          </w:tcPr>
          <w:p w14:paraId="219D6C0D">
            <w:pPr>
              <w:rPr>
                <w:rFonts w:ascii="Arial"/>
                <w:sz w:val="21"/>
              </w:rPr>
            </w:pPr>
          </w:p>
        </w:tc>
        <w:tc>
          <w:tcPr>
            <w:tcW w:w="641" w:type="dxa"/>
            <w:vMerge w:val="continue"/>
            <w:vAlign w:val="top"/>
          </w:tcPr>
          <w:p w14:paraId="0ED7CF00">
            <w:pPr>
              <w:rPr>
                <w:rFonts w:ascii="Arial"/>
                <w:sz w:val="21"/>
              </w:rPr>
            </w:pPr>
          </w:p>
        </w:tc>
        <w:tc>
          <w:tcPr>
            <w:tcW w:w="3566" w:type="dxa"/>
            <w:vMerge w:val="continue"/>
            <w:vAlign w:val="top"/>
          </w:tcPr>
          <w:p w14:paraId="75DD27D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42" w:type="dxa"/>
            <w:vAlign w:val="center"/>
          </w:tcPr>
          <w:p w14:paraId="798ADBF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3.教学成果奖。市三2分、市二4分、市一/省二6分、省一/省特/国二8 分、国一10分。(只计一项最高分)</w:t>
            </w:r>
          </w:p>
          <w:p w14:paraId="1092B66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(本栏累计不超过20分)</w:t>
            </w:r>
          </w:p>
        </w:tc>
        <w:tc>
          <w:tcPr>
            <w:tcW w:w="1050" w:type="dxa"/>
            <w:vAlign w:val="top"/>
          </w:tcPr>
          <w:p w14:paraId="12B47FF0">
            <w:pPr>
              <w:pStyle w:val="6"/>
              <w:spacing w:line="218" w:lineRule="auto"/>
              <w:ind w:left="5"/>
              <w:rPr>
                <w:spacing w:val="3"/>
                <w:sz w:val="17"/>
                <w:szCs w:val="17"/>
              </w:rPr>
            </w:pPr>
          </w:p>
        </w:tc>
        <w:tc>
          <w:tcPr>
            <w:tcW w:w="1050" w:type="dxa"/>
            <w:vAlign w:val="top"/>
          </w:tcPr>
          <w:p w14:paraId="47970C98">
            <w:pPr>
              <w:pStyle w:val="6"/>
              <w:spacing w:line="218" w:lineRule="auto"/>
              <w:ind w:left="5"/>
              <w:rPr>
                <w:spacing w:val="3"/>
                <w:sz w:val="17"/>
                <w:szCs w:val="17"/>
              </w:rPr>
            </w:pPr>
          </w:p>
        </w:tc>
      </w:tr>
      <w:tr w14:paraId="5775F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14" w:type="dxa"/>
            <w:vMerge w:val="restart"/>
            <w:vAlign w:val="top"/>
          </w:tcPr>
          <w:p w14:paraId="6CBB75DE">
            <w:pPr>
              <w:spacing w:line="247" w:lineRule="auto"/>
              <w:rPr>
                <w:rFonts w:ascii="Arial"/>
                <w:sz w:val="21"/>
              </w:rPr>
            </w:pPr>
          </w:p>
          <w:p w14:paraId="2F77E12B">
            <w:pPr>
              <w:spacing w:line="247" w:lineRule="auto"/>
              <w:rPr>
                <w:rFonts w:ascii="Arial"/>
                <w:sz w:val="21"/>
              </w:rPr>
            </w:pPr>
          </w:p>
          <w:p w14:paraId="54661CA5">
            <w:pPr>
              <w:spacing w:line="247" w:lineRule="auto"/>
              <w:rPr>
                <w:rFonts w:ascii="Arial"/>
                <w:sz w:val="21"/>
              </w:rPr>
            </w:pPr>
          </w:p>
          <w:p w14:paraId="00663C64">
            <w:pPr>
              <w:spacing w:line="247" w:lineRule="auto"/>
              <w:rPr>
                <w:rFonts w:ascii="Arial"/>
                <w:sz w:val="21"/>
              </w:rPr>
            </w:pPr>
          </w:p>
          <w:p w14:paraId="7842D25F">
            <w:pPr>
              <w:spacing w:line="247" w:lineRule="auto"/>
              <w:rPr>
                <w:rFonts w:ascii="Arial"/>
                <w:sz w:val="21"/>
              </w:rPr>
            </w:pPr>
          </w:p>
          <w:p w14:paraId="768BD0E4">
            <w:pPr>
              <w:spacing w:line="248" w:lineRule="auto"/>
              <w:rPr>
                <w:rFonts w:ascii="Arial"/>
                <w:sz w:val="21"/>
              </w:rPr>
            </w:pPr>
          </w:p>
          <w:p w14:paraId="372E3E32">
            <w:pPr>
              <w:spacing w:line="248" w:lineRule="auto"/>
              <w:rPr>
                <w:rFonts w:ascii="Arial"/>
                <w:sz w:val="21"/>
              </w:rPr>
            </w:pPr>
          </w:p>
          <w:p w14:paraId="2F1E986A">
            <w:pPr>
              <w:spacing w:line="248" w:lineRule="auto"/>
              <w:rPr>
                <w:rFonts w:ascii="Arial"/>
                <w:sz w:val="21"/>
              </w:rPr>
            </w:pPr>
          </w:p>
          <w:p w14:paraId="68252601">
            <w:pPr>
              <w:pStyle w:val="6"/>
              <w:spacing w:before="56"/>
              <w:ind w:left="214" w:firstLine="170" w:firstLineChars="100"/>
              <w:rPr>
                <w:sz w:val="17"/>
                <w:szCs w:val="17"/>
              </w:rPr>
            </w:pPr>
            <w:r>
              <w:rPr>
                <w:sz w:val="17"/>
                <w:szCs w:val="17"/>
              </w:rPr>
              <w:t>8</w:t>
            </w:r>
          </w:p>
        </w:tc>
        <w:tc>
          <w:tcPr>
            <w:tcW w:w="641" w:type="dxa"/>
            <w:vMerge w:val="restart"/>
            <w:vAlign w:val="top"/>
          </w:tcPr>
          <w:p w14:paraId="3EF4C6B1">
            <w:pPr>
              <w:spacing w:line="245" w:lineRule="auto"/>
              <w:rPr>
                <w:rFonts w:ascii="Arial"/>
                <w:sz w:val="21"/>
              </w:rPr>
            </w:pPr>
          </w:p>
          <w:p w14:paraId="311A7DB5">
            <w:pPr>
              <w:spacing w:line="245" w:lineRule="auto"/>
              <w:rPr>
                <w:rFonts w:ascii="Arial"/>
                <w:sz w:val="21"/>
              </w:rPr>
            </w:pPr>
          </w:p>
          <w:p w14:paraId="1650E1CA">
            <w:pPr>
              <w:spacing w:line="245" w:lineRule="auto"/>
              <w:rPr>
                <w:rFonts w:ascii="Arial"/>
                <w:sz w:val="21"/>
              </w:rPr>
            </w:pPr>
          </w:p>
          <w:p w14:paraId="0BC633EB">
            <w:pPr>
              <w:spacing w:line="245" w:lineRule="auto"/>
              <w:rPr>
                <w:rFonts w:ascii="Arial"/>
                <w:sz w:val="21"/>
              </w:rPr>
            </w:pPr>
          </w:p>
          <w:p w14:paraId="737F0A45">
            <w:pPr>
              <w:spacing w:line="246" w:lineRule="auto"/>
              <w:rPr>
                <w:rFonts w:ascii="Arial"/>
                <w:sz w:val="21"/>
              </w:rPr>
            </w:pPr>
          </w:p>
          <w:p w14:paraId="13BC5B64">
            <w:pPr>
              <w:spacing w:line="246" w:lineRule="auto"/>
              <w:rPr>
                <w:rFonts w:ascii="Arial"/>
                <w:sz w:val="21"/>
              </w:rPr>
            </w:pPr>
          </w:p>
          <w:p w14:paraId="6658ADA8">
            <w:pPr>
              <w:spacing w:line="246" w:lineRule="auto"/>
              <w:rPr>
                <w:rFonts w:ascii="Arial"/>
                <w:sz w:val="21"/>
              </w:rPr>
            </w:pPr>
          </w:p>
          <w:p w14:paraId="49E98594">
            <w:pPr>
              <w:spacing w:line="246" w:lineRule="auto"/>
              <w:rPr>
                <w:rFonts w:ascii="Arial"/>
                <w:sz w:val="21"/>
              </w:rPr>
            </w:pPr>
          </w:p>
          <w:p w14:paraId="0BB024ED">
            <w:pPr>
              <w:pStyle w:val="6"/>
              <w:spacing w:before="55" w:line="220" w:lineRule="auto"/>
              <w:ind w:left="160"/>
              <w:rPr>
                <w:sz w:val="17"/>
                <w:szCs w:val="17"/>
              </w:rPr>
            </w:pPr>
            <w:r>
              <w:rPr>
                <w:spacing w:val="-2"/>
                <w:sz w:val="17"/>
                <w:szCs w:val="17"/>
              </w:rPr>
              <w:t>专业示范</w:t>
            </w:r>
          </w:p>
        </w:tc>
        <w:tc>
          <w:tcPr>
            <w:tcW w:w="3566" w:type="dxa"/>
            <w:vMerge w:val="restart"/>
            <w:vAlign w:val="top"/>
          </w:tcPr>
          <w:p w14:paraId="51ACFC11">
            <w:pPr>
              <w:spacing w:line="310" w:lineRule="auto"/>
              <w:rPr>
                <w:rFonts w:ascii="宋体" w:hAnsi="宋体" w:eastAsia="宋体" w:cs="宋体"/>
                <w:snapToGrid w:val="0"/>
                <w:color w:val="000000"/>
                <w:kern w:val="0"/>
                <w:sz w:val="17"/>
                <w:szCs w:val="17"/>
                <w:lang w:val="en-US" w:eastAsia="en-US" w:bidi="ar-SA"/>
              </w:rPr>
            </w:pPr>
          </w:p>
          <w:p w14:paraId="79040DD5">
            <w:pPr>
              <w:spacing w:line="311" w:lineRule="auto"/>
              <w:rPr>
                <w:rFonts w:ascii="宋体" w:hAnsi="宋体" w:eastAsia="宋体" w:cs="宋体"/>
                <w:snapToGrid w:val="0"/>
                <w:color w:val="000000"/>
                <w:kern w:val="0"/>
                <w:sz w:val="17"/>
                <w:szCs w:val="17"/>
                <w:lang w:val="en-US" w:eastAsia="en-US" w:bidi="ar-SA"/>
              </w:rPr>
            </w:pPr>
          </w:p>
          <w:p w14:paraId="7EF3329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任现职以来，符合以下条件之一：1.有组织、有计划培养指导过1名以上教育教学水平较 高、教科研能力较强的青年教师，被培养指导的教师培养期间获得过辖市(区)级以上教育行政部门奖励1次以上或校级奖励2次以上。</w:t>
            </w:r>
          </w:p>
          <w:p w14:paraId="734B41A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2.担任学科教研组长3年以上，所在教研组被评为校级以上优秀教研组；或担任备课组长5年以上，所在备课组被评为区级以上优秀备课组；或领衔校级以上教师团队建设。</w:t>
            </w:r>
          </w:p>
          <w:p w14:paraId="1649AD1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3.承担市级以上教育部门组织的师训、干训任务(含学科教学辅导、教育教学经验介绍和学术报告)受到好评。</w:t>
            </w:r>
          </w:p>
          <w:p w14:paraId="479ACF8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4.任参加辖市(区)级以上教育考试命题等专业技术工作并发挥积极作用。</w:t>
            </w:r>
          </w:p>
        </w:tc>
        <w:tc>
          <w:tcPr>
            <w:tcW w:w="7442" w:type="dxa"/>
            <w:vAlign w:val="center"/>
          </w:tcPr>
          <w:p w14:paraId="2C7F676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任现职以来：</w:t>
            </w:r>
          </w:p>
          <w:p w14:paraId="03AC19D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1.任现职以来师徒结对协议。</w:t>
            </w:r>
          </w:p>
        </w:tc>
        <w:tc>
          <w:tcPr>
            <w:tcW w:w="1050" w:type="dxa"/>
            <w:vAlign w:val="top"/>
          </w:tcPr>
          <w:p w14:paraId="2D4AE32A">
            <w:pPr>
              <w:pStyle w:val="6"/>
              <w:spacing w:before="15" w:line="219" w:lineRule="auto"/>
              <w:ind w:left="5"/>
              <w:rPr>
                <w:spacing w:val="3"/>
                <w:sz w:val="17"/>
                <w:szCs w:val="17"/>
              </w:rPr>
            </w:pPr>
          </w:p>
        </w:tc>
        <w:tc>
          <w:tcPr>
            <w:tcW w:w="1050" w:type="dxa"/>
            <w:vAlign w:val="top"/>
          </w:tcPr>
          <w:p w14:paraId="242CB692">
            <w:pPr>
              <w:pStyle w:val="6"/>
              <w:spacing w:before="15" w:line="219" w:lineRule="auto"/>
              <w:ind w:left="5"/>
              <w:rPr>
                <w:spacing w:val="3"/>
                <w:sz w:val="17"/>
                <w:szCs w:val="17"/>
              </w:rPr>
            </w:pPr>
          </w:p>
        </w:tc>
      </w:tr>
      <w:tr w14:paraId="41F65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614" w:type="dxa"/>
            <w:vMerge w:val="continue"/>
            <w:vAlign w:val="top"/>
          </w:tcPr>
          <w:p w14:paraId="7F04763B">
            <w:pPr>
              <w:pStyle w:val="6"/>
              <w:spacing w:before="15" w:line="219" w:lineRule="auto"/>
              <w:ind w:left="5"/>
              <w:jc w:val="both"/>
            </w:pPr>
          </w:p>
        </w:tc>
        <w:tc>
          <w:tcPr>
            <w:tcW w:w="641" w:type="dxa"/>
            <w:vMerge w:val="continue"/>
            <w:vAlign w:val="top"/>
          </w:tcPr>
          <w:p w14:paraId="19C76046">
            <w:pPr>
              <w:pStyle w:val="6"/>
              <w:spacing w:before="15" w:line="219" w:lineRule="auto"/>
              <w:ind w:left="5"/>
              <w:jc w:val="both"/>
            </w:pPr>
          </w:p>
        </w:tc>
        <w:tc>
          <w:tcPr>
            <w:tcW w:w="3566" w:type="dxa"/>
            <w:vMerge w:val="continue"/>
            <w:vAlign w:val="top"/>
          </w:tcPr>
          <w:p w14:paraId="78BAB3B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42" w:type="dxa"/>
            <w:vAlign w:val="center"/>
          </w:tcPr>
          <w:p w14:paraId="71B920B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2.指导的教师培养期间获得的教育行政部门奖励证明。青年教师评优课、基本功竞赛、信息化能手大赛获区二1分，区一/市二2分，市一/ 省二及以上3分。(只计一名徒弟的最高分，指导评优课等必须是本学科教师)</w:t>
            </w:r>
          </w:p>
        </w:tc>
        <w:tc>
          <w:tcPr>
            <w:tcW w:w="1050" w:type="dxa"/>
            <w:vAlign w:val="top"/>
          </w:tcPr>
          <w:p w14:paraId="2B1822C4">
            <w:pPr>
              <w:pStyle w:val="6"/>
              <w:spacing w:before="15" w:line="219" w:lineRule="auto"/>
              <w:ind w:left="5"/>
              <w:jc w:val="both"/>
              <w:rPr>
                <w:b/>
                <w:bCs/>
                <w:spacing w:val="3"/>
                <w:sz w:val="17"/>
                <w:szCs w:val="17"/>
              </w:rPr>
            </w:pPr>
          </w:p>
        </w:tc>
        <w:tc>
          <w:tcPr>
            <w:tcW w:w="1050" w:type="dxa"/>
            <w:vAlign w:val="top"/>
          </w:tcPr>
          <w:p w14:paraId="0D5085ED">
            <w:pPr>
              <w:pStyle w:val="6"/>
              <w:spacing w:before="15" w:line="219" w:lineRule="auto"/>
              <w:ind w:left="5"/>
              <w:jc w:val="both"/>
              <w:rPr>
                <w:b/>
                <w:bCs/>
                <w:spacing w:val="3"/>
                <w:sz w:val="17"/>
                <w:szCs w:val="17"/>
              </w:rPr>
            </w:pPr>
          </w:p>
        </w:tc>
      </w:tr>
      <w:tr w14:paraId="58AA4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614" w:type="dxa"/>
            <w:vMerge w:val="continue"/>
            <w:vAlign w:val="top"/>
          </w:tcPr>
          <w:p w14:paraId="256C27D2">
            <w:pPr>
              <w:pStyle w:val="6"/>
              <w:spacing w:before="15" w:line="219" w:lineRule="auto"/>
              <w:ind w:left="5"/>
              <w:jc w:val="both"/>
            </w:pPr>
          </w:p>
        </w:tc>
        <w:tc>
          <w:tcPr>
            <w:tcW w:w="641" w:type="dxa"/>
            <w:vMerge w:val="continue"/>
            <w:vAlign w:val="top"/>
          </w:tcPr>
          <w:p w14:paraId="6E921E4C">
            <w:pPr>
              <w:pStyle w:val="6"/>
              <w:spacing w:before="15" w:line="219" w:lineRule="auto"/>
              <w:ind w:left="5"/>
              <w:jc w:val="both"/>
            </w:pPr>
          </w:p>
        </w:tc>
        <w:tc>
          <w:tcPr>
            <w:tcW w:w="3566" w:type="dxa"/>
            <w:vMerge w:val="continue"/>
            <w:vAlign w:val="top"/>
          </w:tcPr>
          <w:p w14:paraId="44D44CA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42" w:type="dxa"/>
            <w:vAlign w:val="center"/>
          </w:tcPr>
          <w:p w14:paraId="2A0DE62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3.承担市级以上教育行政部门组织的师干训培训任务。(1次1分，最高限2分)</w:t>
            </w:r>
          </w:p>
        </w:tc>
        <w:tc>
          <w:tcPr>
            <w:tcW w:w="1050" w:type="dxa"/>
            <w:vAlign w:val="top"/>
          </w:tcPr>
          <w:p w14:paraId="067C8A01">
            <w:pPr>
              <w:pStyle w:val="6"/>
              <w:spacing w:before="15" w:line="219" w:lineRule="auto"/>
              <w:ind w:left="5"/>
              <w:jc w:val="both"/>
              <w:rPr>
                <w:b/>
                <w:bCs/>
                <w:spacing w:val="3"/>
                <w:sz w:val="17"/>
                <w:szCs w:val="17"/>
              </w:rPr>
            </w:pPr>
          </w:p>
        </w:tc>
        <w:tc>
          <w:tcPr>
            <w:tcW w:w="1050" w:type="dxa"/>
            <w:vAlign w:val="top"/>
          </w:tcPr>
          <w:p w14:paraId="4E4BDABF">
            <w:pPr>
              <w:pStyle w:val="6"/>
              <w:spacing w:before="15" w:line="219" w:lineRule="auto"/>
              <w:ind w:left="5"/>
              <w:jc w:val="both"/>
              <w:rPr>
                <w:b/>
                <w:bCs/>
                <w:spacing w:val="3"/>
                <w:sz w:val="17"/>
                <w:szCs w:val="17"/>
              </w:rPr>
            </w:pPr>
          </w:p>
        </w:tc>
      </w:tr>
      <w:tr w14:paraId="58EB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614" w:type="dxa"/>
            <w:vMerge w:val="continue"/>
            <w:vAlign w:val="top"/>
          </w:tcPr>
          <w:p w14:paraId="12CA7F32">
            <w:pPr>
              <w:pStyle w:val="6"/>
              <w:spacing w:before="15" w:line="219" w:lineRule="auto"/>
              <w:ind w:left="5"/>
              <w:jc w:val="both"/>
              <w:rPr>
                <w:b/>
                <w:bCs/>
                <w:spacing w:val="3"/>
                <w:sz w:val="17"/>
                <w:szCs w:val="17"/>
              </w:rPr>
            </w:pPr>
          </w:p>
        </w:tc>
        <w:tc>
          <w:tcPr>
            <w:tcW w:w="641" w:type="dxa"/>
            <w:vMerge w:val="continue"/>
            <w:vAlign w:val="top"/>
          </w:tcPr>
          <w:p w14:paraId="3FDE8E2E">
            <w:pPr>
              <w:pStyle w:val="6"/>
              <w:spacing w:before="15" w:line="219" w:lineRule="auto"/>
              <w:ind w:left="5"/>
              <w:jc w:val="both"/>
              <w:rPr>
                <w:b/>
                <w:bCs/>
                <w:spacing w:val="3"/>
                <w:sz w:val="17"/>
                <w:szCs w:val="17"/>
              </w:rPr>
            </w:pPr>
          </w:p>
        </w:tc>
        <w:tc>
          <w:tcPr>
            <w:tcW w:w="3566" w:type="dxa"/>
            <w:vMerge w:val="continue"/>
            <w:vAlign w:val="top"/>
          </w:tcPr>
          <w:p w14:paraId="7735E5A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42" w:type="dxa"/>
            <w:vAlign w:val="center"/>
          </w:tcPr>
          <w:p w14:paraId="2D4C484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4.参加区级以上教育考试命题等专业技术工作。(1次1分，最高限2分 )</w:t>
            </w:r>
          </w:p>
        </w:tc>
        <w:tc>
          <w:tcPr>
            <w:tcW w:w="1050" w:type="dxa"/>
            <w:vAlign w:val="top"/>
          </w:tcPr>
          <w:p w14:paraId="0A977AB5">
            <w:pPr>
              <w:pStyle w:val="6"/>
              <w:spacing w:before="15" w:line="219" w:lineRule="auto"/>
              <w:ind w:left="5"/>
              <w:jc w:val="both"/>
              <w:rPr>
                <w:b/>
                <w:bCs/>
                <w:spacing w:val="3"/>
                <w:sz w:val="17"/>
                <w:szCs w:val="17"/>
              </w:rPr>
            </w:pPr>
          </w:p>
        </w:tc>
        <w:tc>
          <w:tcPr>
            <w:tcW w:w="1050" w:type="dxa"/>
            <w:vAlign w:val="top"/>
          </w:tcPr>
          <w:p w14:paraId="61BB73C9">
            <w:pPr>
              <w:pStyle w:val="6"/>
              <w:spacing w:before="15" w:line="219" w:lineRule="auto"/>
              <w:ind w:left="5"/>
              <w:jc w:val="both"/>
              <w:rPr>
                <w:b/>
                <w:bCs/>
                <w:spacing w:val="3"/>
                <w:sz w:val="17"/>
                <w:szCs w:val="17"/>
              </w:rPr>
            </w:pPr>
          </w:p>
        </w:tc>
      </w:tr>
      <w:tr w14:paraId="72B2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614" w:type="dxa"/>
            <w:vMerge w:val="continue"/>
            <w:vAlign w:val="top"/>
          </w:tcPr>
          <w:p w14:paraId="79B842DC">
            <w:pPr>
              <w:pStyle w:val="6"/>
              <w:spacing w:before="15" w:line="219" w:lineRule="auto"/>
              <w:ind w:left="5"/>
              <w:jc w:val="both"/>
              <w:rPr>
                <w:b/>
                <w:bCs/>
                <w:spacing w:val="3"/>
                <w:sz w:val="17"/>
                <w:szCs w:val="17"/>
              </w:rPr>
            </w:pPr>
          </w:p>
        </w:tc>
        <w:tc>
          <w:tcPr>
            <w:tcW w:w="641" w:type="dxa"/>
            <w:vMerge w:val="continue"/>
            <w:vAlign w:val="top"/>
          </w:tcPr>
          <w:p w14:paraId="0316EFC9">
            <w:pPr>
              <w:pStyle w:val="6"/>
              <w:spacing w:before="15" w:line="219" w:lineRule="auto"/>
              <w:ind w:left="5"/>
              <w:jc w:val="both"/>
              <w:rPr>
                <w:b/>
                <w:bCs/>
                <w:spacing w:val="3"/>
                <w:sz w:val="17"/>
                <w:szCs w:val="17"/>
              </w:rPr>
            </w:pPr>
          </w:p>
        </w:tc>
        <w:tc>
          <w:tcPr>
            <w:tcW w:w="3566" w:type="dxa"/>
            <w:vMerge w:val="continue"/>
            <w:vAlign w:val="top"/>
          </w:tcPr>
          <w:p w14:paraId="79C712B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42" w:type="dxa"/>
            <w:vAlign w:val="center"/>
          </w:tcPr>
          <w:p w14:paraId="3B97BE9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5.担任备课组长或教研组长经历与所获奖励证明。优秀教研组、示范教研组、优秀备课组等荣誉，区级2分，市级4分。(只计一项最高分 )</w:t>
            </w:r>
          </w:p>
        </w:tc>
        <w:tc>
          <w:tcPr>
            <w:tcW w:w="1050" w:type="dxa"/>
            <w:vAlign w:val="top"/>
          </w:tcPr>
          <w:p w14:paraId="75821BEA">
            <w:pPr>
              <w:pStyle w:val="6"/>
              <w:spacing w:before="15" w:line="219" w:lineRule="auto"/>
              <w:ind w:left="5"/>
              <w:jc w:val="both"/>
              <w:rPr>
                <w:b/>
                <w:bCs/>
                <w:spacing w:val="3"/>
                <w:sz w:val="17"/>
                <w:szCs w:val="17"/>
              </w:rPr>
            </w:pPr>
          </w:p>
        </w:tc>
        <w:tc>
          <w:tcPr>
            <w:tcW w:w="1050" w:type="dxa"/>
            <w:vAlign w:val="top"/>
          </w:tcPr>
          <w:p w14:paraId="4799DDFF">
            <w:pPr>
              <w:pStyle w:val="6"/>
              <w:spacing w:before="15" w:line="219" w:lineRule="auto"/>
              <w:ind w:left="5"/>
              <w:jc w:val="both"/>
              <w:rPr>
                <w:b/>
                <w:bCs/>
                <w:spacing w:val="3"/>
                <w:sz w:val="17"/>
                <w:szCs w:val="17"/>
              </w:rPr>
            </w:pPr>
          </w:p>
        </w:tc>
      </w:tr>
      <w:tr w14:paraId="6D6CC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614" w:type="dxa"/>
            <w:vMerge w:val="continue"/>
            <w:vAlign w:val="top"/>
          </w:tcPr>
          <w:p w14:paraId="01935AF2">
            <w:pPr>
              <w:pStyle w:val="6"/>
              <w:spacing w:before="15" w:line="219" w:lineRule="auto"/>
              <w:ind w:left="5"/>
              <w:jc w:val="both"/>
              <w:rPr>
                <w:b/>
                <w:bCs/>
                <w:spacing w:val="3"/>
                <w:sz w:val="17"/>
                <w:szCs w:val="17"/>
              </w:rPr>
            </w:pPr>
          </w:p>
        </w:tc>
        <w:tc>
          <w:tcPr>
            <w:tcW w:w="641" w:type="dxa"/>
            <w:vMerge w:val="continue"/>
            <w:vAlign w:val="top"/>
          </w:tcPr>
          <w:p w14:paraId="08619D01">
            <w:pPr>
              <w:pStyle w:val="6"/>
              <w:spacing w:before="15" w:line="219" w:lineRule="auto"/>
              <w:ind w:left="5"/>
              <w:jc w:val="both"/>
              <w:rPr>
                <w:b/>
                <w:bCs/>
                <w:spacing w:val="3"/>
                <w:sz w:val="17"/>
                <w:szCs w:val="17"/>
              </w:rPr>
            </w:pPr>
          </w:p>
        </w:tc>
        <w:tc>
          <w:tcPr>
            <w:tcW w:w="3566" w:type="dxa"/>
            <w:vMerge w:val="continue"/>
            <w:vAlign w:val="top"/>
          </w:tcPr>
          <w:p w14:paraId="020F4FB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p>
        </w:tc>
        <w:tc>
          <w:tcPr>
            <w:tcW w:w="7442" w:type="dxa"/>
            <w:vAlign w:val="center"/>
          </w:tcPr>
          <w:p w14:paraId="7F13547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6.区级以上教师发展或改革项目团队领衔人证明。主持教师发展或学校改革项目：区级2分、市级4分、省级6分。(只计一项最高分)</w:t>
            </w:r>
          </w:p>
          <w:p w14:paraId="3CB4D52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说明：具体指名教师(校长)工作室、优秀教师跟岗锻炼、名师导教、优秀教师城乡牵手行动、乡村骨干教师培育站、“四有”好教师、 送培上门等项目。</w:t>
            </w:r>
          </w:p>
          <w:p w14:paraId="08B8D06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5" w:firstLine="340" w:firstLineChars="200"/>
              <w:jc w:val="left"/>
              <w:textAlignment w:val="baseline"/>
              <w:rPr>
                <w:rFonts w:ascii="宋体" w:hAnsi="宋体" w:eastAsia="宋体" w:cs="宋体"/>
                <w:snapToGrid w:val="0"/>
                <w:color w:val="000000"/>
                <w:kern w:val="0"/>
                <w:sz w:val="17"/>
                <w:szCs w:val="17"/>
                <w:lang w:val="en-US" w:eastAsia="en-US" w:bidi="ar-SA"/>
              </w:rPr>
            </w:pPr>
            <w:r>
              <w:rPr>
                <w:rFonts w:ascii="宋体" w:hAnsi="宋体" w:eastAsia="宋体" w:cs="宋体"/>
                <w:snapToGrid w:val="0"/>
                <w:color w:val="000000"/>
                <w:kern w:val="0"/>
                <w:sz w:val="17"/>
                <w:szCs w:val="17"/>
                <w:lang w:val="en-US" w:eastAsia="en-US" w:bidi="ar-SA"/>
              </w:rPr>
              <w:t>(本栏累计不超过10分)</w:t>
            </w:r>
          </w:p>
        </w:tc>
        <w:tc>
          <w:tcPr>
            <w:tcW w:w="1050" w:type="dxa"/>
            <w:vAlign w:val="top"/>
          </w:tcPr>
          <w:p w14:paraId="4509942B">
            <w:pPr>
              <w:pStyle w:val="6"/>
              <w:spacing w:before="15" w:line="219" w:lineRule="auto"/>
              <w:ind w:left="5"/>
              <w:jc w:val="both"/>
              <w:rPr>
                <w:b/>
                <w:bCs/>
                <w:spacing w:val="3"/>
                <w:sz w:val="17"/>
                <w:szCs w:val="17"/>
              </w:rPr>
            </w:pPr>
          </w:p>
        </w:tc>
        <w:tc>
          <w:tcPr>
            <w:tcW w:w="1050" w:type="dxa"/>
            <w:vAlign w:val="top"/>
          </w:tcPr>
          <w:p w14:paraId="09E54B94">
            <w:pPr>
              <w:pStyle w:val="6"/>
              <w:spacing w:before="15" w:line="219" w:lineRule="auto"/>
              <w:ind w:left="5"/>
              <w:jc w:val="both"/>
              <w:rPr>
                <w:b/>
                <w:bCs/>
                <w:spacing w:val="3"/>
                <w:sz w:val="17"/>
                <w:szCs w:val="17"/>
              </w:rPr>
            </w:pPr>
          </w:p>
        </w:tc>
      </w:tr>
      <w:tr w14:paraId="72BAC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2263" w:type="dxa"/>
            <w:gridSpan w:val="4"/>
            <w:vAlign w:val="center"/>
          </w:tcPr>
          <w:p w14:paraId="53BCD17F">
            <w:pPr>
              <w:pStyle w:val="6"/>
              <w:spacing w:before="15" w:line="219" w:lineRule="auto"/>
              <w:ind w:left="5"/>
              <w:jc w:val="right"/>
              <w:rPr>
                <w:rFonts w:hint="eastAsia" w:eastAsia="宋体"/>
                <w:b/>
                <w:bCs/>
                <w:spacing w:val="3"/>
                <w:sz w:val="28"/>
                <w:szCs w:val="28"/>
                <w:lang w:val="en-US" w:eastAsia="zh-CN"/>
              </w:rPr>
            </w:pPr>
            <w:r>
              <w:rPr>
                <w:rFonts w:hint="eastAsia"/>
                <w:b/>
                <w:bCs/>
                <w:spacing w:val="3"/>
                <w:sz w:val="28"/>
                <w:szCs w:val="28"/>
                <w:lang w:val="en-US" w:eastAsia="zh-CN"/>
              </w:rPr>
              <w:t>总计</w:t>
            </w:r>
          </w:p>
        </w:tc>
        <w:tc>
          <w:tcPr>
            <w:tcW w:w="1050" w:type="dxa"/>
            <w:vAlign w:val="top"/>
          </w:tcPr>
          <w:p w14:paraId="12B8DB29">
            <w:pPr>
              <w:pStyle w:val="6"/>
              <w:spacing w:before="15" w:line="219" w:lineRule="auto"/>
              <w:ind w:left="5"/>
              <w:jc w:val="both"/>
              <w:rPr>
                <w:b/>
                <w:bCs/>
                <w:spacing w:val="3"/>
                <w:sz w:val="17"/>
                <w:szCs w:val="17"/>
              </w:rPr>
            </w:pPr>
          </w:p>
        </w:tc>
        <w:tc>
          <w:tcPr>
            <w:tcW w:w="1050" w:type="dxa"/>
            <w:vAlign w:val="top"/>
          </w:tcPr>
          <w:p w14:paraId="41D75676">
            <w:pPr>
              <w:pStyle w:val="6"/>
              <w:spacing w:before="15" w:line="219" w:lineRule="auto"/>
              <w:ind w:left="5"/>
              <w:jc w:val="both"/>
              <w:rPr>
                <w:b/>
                <w:bCs/>
                <w:spacing w:val="3"/>
                <w:sz w:val="17"/>
                <w:szCs w:val="17"/>
              </w:rPr>
            </w:pPr>
          </w:p>
        </w:tc>
      </w:tr>
    </w:tbl>
    <w:p w14:paraId="33FA3A55">
      <w:pPr>
        <w:pStyle w:val="2"/>
        <w:spacing w:line="249" w:lineRule="auto"/>
        <w:rPr>
          <w:sz w:val="28"/>
          <w:szCs w:val="28"/>
        </w:rPr>
      </w:pPr>
    </w:p>
    <w:p w14:paraId="4E4DC1F0">
      <w:pPr>
        <w:spacing w:before="12"/>
        <w:ind w:firstLine="7000" w:firstLineChars="2500"/>
        <w:rPr>
          <w:sz w:val="28"/>
          <w:szCs w:val="28"/>
        </w:rPr>
      </w:pPr>
      <w:r>
        <w:rPr>
          <w:rFonts w:hint="eastAsia" w:eastAsia="宋体"/>
          <w:sz w:val="28"/>
          <w:szCs w:val="28"/>
          <w:lang w:val="en-US" w:eastAsia="zh-CN"/>
        </w:rPr>
        <w:t>申报人：                      时间：</w:t>
      </w:r>
    </w:p>
    <w:p w14:paraId="649C7E3C">
      <w:pPr>
        <w:spacing w:before="12"/>
        <w:rPr>
          <w:rFonts w:hint="eastAsia" w:eastAsia="宋体"/>
          <w:sz w:val="28"/>
          <w:szCs w:val="28"/>
          <w:lang w:val="en-US" w:eastAsia="zh-CN"/>
        </w:rPr>
      </w:pPr>
      <w:r>
        <w:rPr>
          <w:rFonts w:hint="eastAsia" w:eastAsia="宋体"/>
          <w:sz w:val="28"/>
          <w:szCs w:val="28"/>
          <w:lang w:val="en-US" w:eastAsia="zh-CN"/>
        </w:rPr>
        <w:t xml:space="preserve">                                                                                          审核人：党政办(1-4项）：</w:t>
      </w:r>
    </w:p>
    <w:p w14:paraId="2B48AEEE">
      <w:pPr>
        <w:spacing w:before="12"/>
        <w:rPr>
          <w:rFonts w:hint="eastAsia" w:eastAsia="宋体"/>
          <w:sz w:val="28"/>
          <w:szCs w:val="28"/>
          <w:lang w:val="en-US" w:eastAsia="zh-CN"/>
        </w:rPr>
      </w:pPr>
      <w:r>
        <w:rPr>
          <w:rFonts w:hint="eastAsia" w:eastAsia="宋体"/>
          <w:sz w:val="28"/>
          <w:szCs w:val="28"/>
          <w:lang w:val="en-US" w:eastAsia="zh-CN"/>
        </w:rPr>
        <w:t xml:space="preserve">                                                                                                        政教处（5项）：</w:t>
      </w:r>
    </w:p>
    <w:p w14:paraId="276787D3">
      <w:pPr>
        <w:spacing w:before="12"/>
        <w:rPr>
          <w:rFonts w:hint="eastAsia" w:eastAsia="宋体"/>
          <w:sz w:val="28"/>
          <w:szCs w:val="28"/>
          <w:lang w:val="en-US" w:eastAsia="zh-CN"/>
        </w:rPr>
      </w:pPr>
      <w:r>
        <w:rPr>
          <w:rFonts w:hint="eastAsia" w:eastAsia="宋体"/>
          <w:sz w:val="28"/>
          <w:szCs w:val="28"/>
          <w:lang w:val="en-US" w:eastAsia="zh-CN"/>
        </w:rPr>
        <w:t xml:space="preserve">                                                                                                        教务处（6项）：</w:t>
      </w:r>
    </w:p>
    <w:p w14:paraId="222E61BC">
      <w:pPr>
        <w:spacing w:before="12"/>
        <w:ind w:firstLine="8120" w:firstLineChars="2900"/>
        <w:rPr>
          <w:rFonts w:hint="default" w:eastAsia="宋体"/>
          <w:sz w:val="28"/>
          <w:szCs w:val="28"/>
          <w:lang w:val="en-US" w:eastAsia="zh-CN"/>
        </w:rPr>
      </w:pPr>
      <w:r>
        <w:rPr>
          <w:rFonts w:hint="eastAsia" w:eastAsia="宋体"/>
          <w:sz w:val="28"/>
          <w:szCs w:val="28"/>
          <w:lang w:val="en-US" w:eastAsia="zh-CN"/>
        </w:rPr>
        <w:t>教科室（7-8项）：</w:t>
      </w:r>
    </w:p>
    <w:p w14:paraId="747BB503">
      <w:pPr>
        <w:spacing w:before="12"/>
      </w:pPr>
    </w:p>
    <w:p w14:paraId="18CC3148">
      <w:pPr>
        <w:pStyle w:val="2"/>
        <w:spacing w:line="250" w:lineRule="auto"/>
      </w:pPr>
    </w:p>
    <w:p w14:paraId="6C7673A1">
      <w:pPr>
        <w:pStyle w:val="2"/>
        <w:spacing w:line="250" w:lineRule="auto"/>
      </w:pPr>
    </w:p>
    <w:p w14:paraId="48A2859C">
      <w:pPr>
        <w:pStyle w:val="2"/>
        <w:spacing w:line="250" w:lineRule="auto"/>
      </w:pPr>
    </w:p>
    <w:p w14:paraId="506702D7">
      <w:pPr>
        <w:pStyle w:val="2"/>
        <w:spacing w:line="250" w:lineRule="auto"/>
      </w:pPr>
    </w:p>
    <w:p w14:paraId="2EC4622B">
      <w:pPr>
        <w:pStyle w:val="2"/>
        <w:spacing w:line="250" w:lineRule="auto"/>
      </w:pPr>
    </w:p>
    <w:p w14:paraId="19111F14">
      <w:pPr>
        <w:pStyle w:val="2"/>
        <w:spacing w:line="250" w:lineRule="auto"/>
      </w:pPr>
    </w:p>
    <w:p w14:paraId="347B2621">
      <w:pPr>
        <w:pStyle w:val="2"/>
        <w:spacing w:line="250" w:lineRule="auto"/>
      </w:pPr>
    </w:p>
    <w:p w14:paraId="5E837EC8">
      <w:pPr>
        <w:pStyle w:val="2"/>
        <w:spacing w:line="250" w:lineRule="auto"/>
      </w:pPr>
    </w:p>
    <w:p w14:paraId="3F274FC3">
      <w:pPr>
        <w:pStyle w:val="2"/>
        <w:spacing w:line="250" w:lineRule="auto"/>
      </w:pPr>
    </w:p>
    <w:p w14:paraId="3891B0B6">
      <w:pPr>
        <w:pStyle w:val="2"/>
        <w:spacing w:line="250" w:lineRule="auto"/>
      </w:pPr>
    </w:p>
    <w:p w14:paraId="4D3CE8B1">
      <w:pPr>
        <w:pStyle w:val="2"/>
        <w:spacing w:line="251" w:lineRule="auto"/>
      </w:pPr>
    </w:p>
    <w:p w14:paraId="3E2AE4D4">
      <w:pPr>
        <w:pStyle w:val="2"/>
        <w:spacing w:line="251" w:lineRule="auto"/>
      </w:pPr>
    </w:p>
    <w:p w14:paraId="7FC29096">
      <w:pPr>
        <w:pStyle w:val="2"/>
        <w:spacing w:line="251" w:lineRule="auto"/>
      </w:pPr>
    </w:p>
    <w:p w14:paraId="67A3BB11">
      <w:pPr>
        <w:pStyle w:val="2"/>
        <w:spacing w:line="251" w:lineRule="auto"/>
      </w:pPr>
    </w:p>
    <w:p w14:paraId="595DBCD7">
      <w:pPr>
        <w:spacing w:line="270" w:lineRule="auto"/>
        <w:rPr>
          <w:rFonts w:ascii="宋体" w:hAnsi="宋体" w:eastAsia="宋体" w:cs="宋体"/>
          <w:sz w:val="13"/>
          <w:szCs w:val="13"/>
        </w:rPr>
        <w:sectPr>
          <w:footerReference r:id="rId5" w:type="default"/>
          <w:pgSz w:w="16838" w:h="23811"/>
          <w:pgMar w:top="1431" w:right="314" w:bottom="1" w:left="604" w:header="0" w:footer="0" w:gutter="0"/>
          <w:pgBorders>
            <w:top w:val="none" w:sz="0" w:space="0"/>
            <w:left w:val="none" w:sz="0" w:space="0"/>
            <w:bottom w:val="none" w:sz="0" w:space="0"/>
            <w:right w:val="none" w:sz="0" w:space="0"/>
          </w:pgBorders>
          <w:cols w:space="720" w:num="1"/>
        </w:sectPr>
      </w:pPr>
    </w:p>
    <w:p w14:paraId="69886C6F">
      <w:pPr>
        <w:spacing w:before="21" w:line="173" w:lineRule="auto"/>
        <w:ind w:left="10034"/>
        <w:rPr>
          <w:rFonts w:ascii="宋体" w:hAnsi="宋体" w:eastAsia="宋体" w:cs="宋体"/>
          <w:sz w:val="13"/>
          <w:szCs w:val="13"/>
        </w:rPr>
      </w:pPr>
    </w:p>
    <w:sectPr>
      <w:pgSz w:w="11900" w:h="16840"/>
      <w:pgMar w:top="1431" w:right="314" w:bottom="306" w:left="195"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D31D">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3C1B43"/>
    <w:rsid w:val="09497487"/>
    <w:rsid w:val="13C80461"/>
    <w:rsid w:val="29DB01C2"/>
    <w:rsid w:val="2E852771"/>
    <w:rsid w:val="481630A2"/>
    <w:rsid w:val="57B150EE"/>
    <w:rsid w:val="5BAA0450"/>
    <w:rsid w:val="61900580"/>
    <w:rsid w:val="64B51F43"/>
    <w:rsid w:val="65A41961"/>
    <w:rsid w:val="754031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3981</Words>
  <Characters>4102</Characters>
  <TotalTime>0</TotalTime>
  <ScaleCrop>false</ScaleCrop>
  <LinksUpToDate>false</LinksUpToDate>
  <CharactersWithSpaces>4440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2025-08-09T10:40:00Z</dcterms:created>
  <dc:creator>lenovo</dc:creator>
  <cp:lastModifiedBy>握手</cp:lastModifiedBy>
  <dcterms:modified xsi:type="dcterms:W3CDTF">2025-08-28T07:00:29Z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2025-08-09T10:40:40Z</vt:filetime>
  </property>
  <property fmtid="{D5CDD505-2E9C-101B-9397-08002B2CF9AE}" pid="4" name="UsrData">
    <vt:lpwstr>6896b5249a065e001f8e4a5awl</vt:lpwstr>
  </property>
  <property fmtid="{D5CDD505-2E9C-101B-9397-08002B2CF9AE}" pid="5" name="KSOTemplateDocerSaveRecord">
    <vt:lpwstr>eyJoZGlkIjoiYjI2NWQ0N2FhMTc4ODM0NDcyMGUxY2Y1NDJiZjFjMDEiLCJ1c2VySWQiOiI1MDMyMzM2ODkifQ==</vt:lpwstr>
  </property>
  <property fmtid="{D5CDD505-2E9C-101B-9397-08002B2CF9AE}" pid="6" name="KSOProductBuildVer">
    <vt:lpwstr>2052-12.1.0.21915</vt:lpwstr>
  </property>
  <property fmtid="{D5CDD505-2E9C-101B-9397-08002B2CF9AE}" pid="7" name="ICV">
    <vt:lpwstr>975137C4F7BC46D69FBF9272B2BD6999_12</vt:lpwstr>
  </property>
</Properties>
</file>