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B54F">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6C4F5C92">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35</w:t>
      </w:r>
      <w:r>
        <w:rPr>
          <w:rFonts w:hint="eastAsia" w:ascii="黑体" w:hAnsi="黑体" w:eastAsia="黑体" w:cs="黑体"/>
          <w:b/>
          <w:bCs/>
          <w:color w:val="FF0000"/>
          <w:sz w:val="32"/>
          <w:szCs w:val="32"/>
        </w:rPr>
        <w:t>期）</w:t>
      </w:r>
    </w:p>
    <w:p w14:paraId="3041B10F">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本期主题：学前教育徐志国卓越教师成长营第</w:t>
      </w:r>
      <w:r>
        <w:rPr>
          <w:rFonts w:hint="eastAsia" w:ascii="仿宋" w:hAnsi="仿宋" w:eastAsia="仿宋" w:cs="仿宋"/>
          <w:b/>
          <w:bCs/>
          <w:color w:val="000000"/>
          <w:sz w:val="24"/>
          <w:lang w:val="en-US" w:eastAsia="zh-CN"/>
        </w:rPr>
        <w:t>35</w:t>
      </w:r>
      <w:r>
        <w:rPr>
          <w:rFonts w:hint="eastAsia" w:ascii="仿宋" w:hAnsi="仿宋" w:eastAsia="仿宋" w:cs="仿宋"/>
          <w:b/>
          <w:bCs/>
          <w:color w:val="000000"/>
          <w:sz w:val="24"/>
          <w:lang w:eastAsia="zh-CN"/>
        </w:rPr>
        <w:t>次研讨活动</w:t>
      </w:r>
      <w:r>
        <w:rPr>
          <w:rFonts w:hint="eastAsia" w:ascii="仿宋" w:hAnsi="仿宋" w:eastAsia="仿宋" w:cs="仿宋"/>
          <w:b/>
          <w:bCs/>
          <w:color w:val="000000"/>
          <w:sz w:val="24"/>
          <w:lang w:val="en-US" w:eastAsia="zh-CN"/>
        </w:rPr>
        <w:t xml:space="preserve">    2025年7月7日</w:t>
      </w:r>
    </w:p>
    <w:p w14:paraId="4D287DAD">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6ACF4904">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3F77EA6">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词：个人总结、计划；研学相长；实践反思 </w:t>
      </w:r>
    </w:p>
    <w:p w14:paraId="6F9551A4">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405834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促进教师专业成长，搭建经验交流平台，新北区徐志国卓越教师成长营在线上腾讯会议开展了个人总结与学期计划交流分享活动。活动中，教师们围绕过往工作成果与未来规划深入探讨，领衔人徐志国老师也针对性地给予指导，为教师专业发展指明方向，有效推动了教师队伍建设。</w:t>
      </w:r>
    </w:p>
    <w:p w14:paraId="22A1D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39202CBD">
      <w:pPr>
        <w:pStyle w:val="2"/>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深耕细研促成长——教师总结与计划交流</w:t>
      </w:r>
    </w:p>
    <w:p w14:paraId="5D27D825">
      <w:pPr>
        <w:pStyle w:val="2"/>
        <w:keepNext w:val="0"/>
        <w:keepLines w:val="0"/>
        <w:pageBreakBefore w:val="0"/>
        <w:kinsoku/>
        <w:wordWrap/>
        <w:overflowPunct/>
        <w:topLinePunct w:val="0"/>
        <w:bidi w:val="0"/>
        <w:snapToGrid/>
        <w:spacing w:line="400" w:lineRule="exact"/>
        <w:ind w:left="0" w:leftChars="0" w:firstLine="480" w:firstLineChars="200"/>
        <w:textAlignment w:val="auto"/>
        <w:rPr>
          <w:rStyle w:val="11"/>
          <w:rFonts w:hint="eastAsia" w:ascii="仿宋" w:hAnsi="仿宋" w:eastAsia="仿宋" w:cs="仿宋"/>
          <w:b w:val="0"/>
          <w:bCs/>
          <w:sz w:val="24"/>
          <w:szCs w:val="24"/>
        </w:rPr>
      </w:pPr>
      <w:r>
        <w:rPr>
          <w:rStyle w:val="11"/>
          <w:rFonts w:hint="eastAsia" w:ascii="仿宋" w:hAnsi="仿宋" w:eastAsia="仿宋" w:cs="仿宋"/>
          <w:b w:val="0"/>
          <w:bCs/>
          <w:sz w:val="24"/>
          <w:szCs w:val="24"/>
        </w:rPr>
        <w:t>各位教师结合自身实践，从教育教学、幼儿发展、个人提升等方面进行总结，并阐述新学期计划。有的教师分享了在游戏化教学中的探索成果，提及如何通过丰富游戏材料激发幼儿主动性；有的聚焦家园共育，总结了有效沟通的方法，并计划新学期开展更多亲子活动；还有教师针对自身短板，提出了系统的学习计划。大家在交流中互学互鉴，明晰了成长路径。</w:t>
      </w:r>
    </w:p>
    <w:p w14:paraId="17BDD5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林洁：</w:t>
      </w:r>
    </w:p>
    <w:p w14:paraId="39CFBF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理念上，通过金句引导，确立“儿童本位”核心信念，形成“环境即课程”等共识；教研上，从现象分析转向系统思考，话术更科学，聚焦户外资源研讨；资源利用上，关注季节与主题联动，总结策略并用于论文发表；学习中，理解教育需“无中生有”，但在跟随幼儿节奏上仍需提升。</w:t>
      </w:r>
    </w:p>
    <w:p w14:paraId="356307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新学期计划：建个人成长档案袋；每日5分钟观察记录，每月做资源利用思维导图；将阅读实践内化；建立“问题追逐—策略验证—成果固化”机制，提升写作；总结案例形成闭环，争取参加评优课，融会贯通资源利用策略。</w:t>
      </w:r>
      <w:bookmarkStart w:id="0" w:name="_GoBack"/>
      <w:bookmarkEnd w:id="0"/>
    </w:p>
    <w:p w14:paraId="6F31A1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许惠莲：</w:t>
      </w:r>
    </w:p>
    <w:p w14:paraId="5A7020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回顾这一年的学习，成长营创新的分组微教研模式让我收获满满。其一，通过音乐区、美术区专题研修，掌握环境创设与材料投放策略，深化"有效鹰架支持"能力，助力幼儿艺术表达，补足自身艺术领域的短板。其二，联合其他学习体的跨组学习，从课题研究、数字化应用等，打破领域局限，提升综合素养，拓展了我的专业维度。</w:t>
      </w:r>
    </w:p>
    <w:p w14:paraId="36DCEE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学习后的内化和输出，是最重要的。</w:t>
      </w:r>
    </w:p>
    <w:p w14:paraId="03379F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接下来的一年里，我的规划如下：系统学习夯基础：强化课题研究能力，利用线上资源与AI工具精进研究方法、数据分析及报告撰写，支撑课题结题。实践转化显成果：开发班本AI应用原型（如智能签到、运动数据分析），探索技术赋能保教创新；通过教研分享辐射经验，践行"教学做合一"。对标骨干促进阶：针对市骨干评选要求，重点提升科研论文质量与发表层级，积极参与公开课、环创等竞赛争取荣誉。</w:t>
      </w:r>
    </w:p>
    <w:p w14:paraId="7D6C21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蒋侃：</w:t>
      </w:r>
    </w:p>
    <w:p w14:paraId="13B228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回顾这学期，在徐志国卓越教师成长营的学习让我收获满满。首先是打理论基础，在师傅的带领下研读《学前教育法》，弄清幼儿教育、活动组织的要点，并融入日常工作中。本学期我也承担了区级大班数学开放课《春日摩天轮大挑战》，把数学规律、方位藏在给小动物安排座位的游戏里，从游戏现场看孩子们玩得非常投入。同时我将在成长营学习到的关于区域布置、材料选择方法等应用到自己的班级，分别调整了益智区、科探区的布局和材料，调整之后也发现孩子们在区域中更加投入、专注了。但我知道自身还有许多不足，专业知识不透，研究能力需加强。以后打算多阅读幼教书籍深化专业知识、多参与课题，学写案例，努力成长为有理论深度、实践温度的卓越幼儿教师。</w:t>
      </w:r>
    </w:p>
    <w:p w14:paraId="7FDE3B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朱琳：</w:t>
      </w:r>
    </w:p>
    <w:p w14:paraId="395E48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2024-2025第二学期成长营中，通过深化教育理论学习、优化课程设计，取得了一定成果。她系统研读了4本专业书籍，将理论应用于大班游戏活动设计，并开发了“骑行创意节”等主题课程，幼儿参与度达95%以上。同时，她运用多媒体技术创设情境教学案例，主持区级课题研究，但在教育理论应用和特色教学风格方面仍有不足。</w:t>
      </w:r>
    </w:p>
    <w:p w14:paraId="6AF65E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2025-2026第一学期计划中，她将继续提升教育研究能力，撰写论文，打造“音乐+体育”特色课程模块。每月开展1次特色课程实验，建立教学案例库，邀请专家指导科研方向。希望师傅徐老师提供一对一指导，推荐高质量论文，助力其成为兼具实践与研究能力的教师。</w:t>
      </w:r>
    </w:p>
    <w:p w14:paraId="709D5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吴莉樱：</w:t>
      </w:r>
    </w:p>
    <w:p w14:paraId="64810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过去一年时间，在户外活动质量提升上，通过优化场地布局、丰富器械种类，幼儿活动参与度有所提高，但存在活动层次性不足、教师指导策略单一等问题。音乐区域建设初步探索中，虽添置基础教具，但班级特色不突出，幼儿自主创作空间有限。</w:t>
      </w:r>
    </w:p>
    <w:p w14:paraId="386B74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新的学年，我将重点突破两方面：户外活动上，系统学习《3-6岁儿童户外游戏指导》，每周开展1次教师研讨，设计“低结构材料+主题情境”活动方案，分年龄段建立活动评估表，提升活动的趣味性与教育性。音乐区域样板班打造中，深耕“生活化音乐”理念，联动家长收集本土乐器素材，创设“听、唱、奏、创”分区，每月开展1次区域开放日，形成可复制的班级特色模式，让幼儿在音乐中释放天性。</w:t>
      </w:r>
    </w:p>
    <w:p w14:paraId="03FFDC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何洪秀：</w:t>
      </w:r>
    </w:p>
    <w:p w14:paraId="4DC56C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在“徐志国卓越教师成长营”的引领下，我实现了理念与专业的双重突破：通过共读《学前教育法》等理论书籍，儿童观、教育观显著更新；主持市级课题并通过中期评估，撰写观察记录40余篇，获区园本教研展评一等奖及“课程建设优秀教师”称号。在成长营“每月微教研”模式的启发下，我将学习成果转化为园所教研新路径，推行了“1+1+1”教研行动计划，带动园所教研实效提升。反思不足，理论转化实践需深化，辐射引领作用待加强。</w:t>
      </w:r>
    </w:p>
    <w:p w14:paraId="63ADF3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新学期计划：专业学习：精读1-2本专著，撰写论文1-2篇；课题研究：系统推进市级音乐游戏化课题，开发5-8个案例，优化园所音乐资源库；期待成长营持续提供专家指导与同伴互助，助力向卓越教师迈进！</w:t>
      </w:r>
    </w:p>
    <w:p w14:paraId="669963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季叶洁：</w:t>
      </w:r>
    </w:p>
    <w:p w14:paraId="3C9735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一学年以来，我通过成长营的沉浸式观摩与模拟还原，提升师幼互动的观察与支持能力。小组研讨展示中拓宽专业视野，学习同伴间音乐区、美术区实践策略。每次师傅的专家讲座结合案例解析，提升理论认知与实践转化力。未来计划：聚焦儿童立场，优化结构化观察方法，支持儿童的当下学习与探索；通过教育叙事与论文撰写深化反思沉淀，提升学术表达；持续学习专家理论与实践案例，推动成果转化，以专业成长赋能教育创新，不负成长营平台的滋养与期待。</w:t>
      </w:r>
    </w:p>
    <w:p w14:paraId="416172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刘红：</w:t>
      </w:r>
    </w:p>
    <w:p w14:paraId="07419B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1"/>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本学年度我系统提炼并推广了成长营经验至全园实践；作为主持人及核心成员推进了两项课题研究至中期阶段，并获得专家指导认可；通过精读与泛读专业书籍提升了课程设计与实践能力；在成长营、核心组及园所多次承担开放活动，锻炼了组织协调与交流能力；同时以多重身份积极参与并主持了各级教研活动，提升了协作与专业素养。问题剖析： 主要存在承担教研主持信心不足、课题相关论文产出少且深度不够撰写能力弱、以及理论基础薄弱影响专业表达与实践反思三方面不足。</w:t>
      </w:r>
    </w:p>
    <w:p w14:paraId="606619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1"/>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未来计划：针对性地采取三项措施：强化日常班级观察与反思，积累实践经验形成案例；主动把握各类学习机会提升教研能力，深化专业阅读与思考以突破瓶颈；务实推进课题，通过团队分工将研究目标融入日常保教实践，注重过程性积累。</w:t>
      </w:r>
    </w:p>
    <w:p w14:paraId="619CEE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陈蓓：</w:t>
      </w:r>
    </w:p>
    <w:p w14:paraId="7A5625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本学年，我以成长营为平台，在学习与实践中稳步成长。思想上，积极参与政治学习，践行“立德树人”；学习上，团队共学与自主研读结合，积累理论养分。实践中，参与同课异构活动，经点评改进教学；深耕微型教研，聚焦真实问题探索策略；推进区域游戏，通过动态支架助推游戏升级，组织分享深化价值，并以主题分享会、半日开放辐射园所。成果方面，两篇论文分获区教科研三等奖及发表。但存在理论实践结合不灵活、资源分析能力弱等不足。新的一学年，我将通过专业书籍阅读、探索AI技术教学应用、参与各级专业活动及竞赛、建每日反思日志、及时梳理成果等方式，深化教育资源开发理论转化，提升资源在区域游戏与集体活动中的应用实效性，努力成为更优秀的幼儿教师。</w:t>
      </w:r>
    </w:p>
    <w:p w14:paraId="20AA99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黄丽：</w:t>
      </w:r>
    </w:p>
    <w:p w14:paraId="35BF57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 xml:space="preserve">  本学期，在卓越成长营的学习中，我收获颇丰：主持的市级课题顺利结题，职称上获得晋升，还尝试撰写了相关论文投稿。在师傅引领下，我深化了儿童为本的理念，带领园所老师学习《学前教育法》，观念上有了显著提升。</w:t>
      </w:r>
    </w:p>
    <w:p w14:paraId="1D2D01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但也暴露不足：专业理论储备不足，总结经验能力较弱，教研组织和团队建设能力待加强，还需向市学带目标努力。</w:t>
      </w:r>
    </w:p>
    <w:p w14:paraId="0D799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下学期计划：一是精读专业书籍，学习幼儿发展常模和《学前教育法》，多写论文案例；二是提升观察解读幼儿能力，积极参与成长营活动，积累职称材料；三是做好成长营助理工作，锻炼团队协作和教研组织能力，争取向市学带迈进。</w:t>
      </w:r>
    </w:p>
    <w:p w14:paraId="2DAB66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教育之路道阻且长，我将带着本学期的收获与反思，以更饱满的热情投入下学期的学习与实践，在专业成长的道路上稳步前行，努力成为更懂孩子、更专业的幼教人。</w:t>
      </w:r>
    </w:p>
    <w:p w14:paraId="4C1517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周丽佼：</w:t>
      </w:r>
    </w:p>
    <w:p w14:paraId="560898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在成长营的一年里，我聚焦实践与研究收获颇丰。教学上，打磨了中班科学活动《谁能装进瓶子里？》，获差异资源利用的启发；课程开发中，《转角遇见“小世界”》让我领会“课程即生活”；课题研究与刘红老师合作，总结出“观察-识别-设计/引导-互动-反思”循环模式。</w:t>
      </w:r>
    </w:p>
    <w:p w14:paraId="62A671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未来一年，我计划开放大班科学探究区区域游戏，深化课题研究：细化提问与评价策略，拓展研究领域至全部五大领域，联动实践打磨策略；还将完成2篇课题论文，梳理成果备战结题。感谢成长营让我学会“在实践中思考，在思考中实践”，未来我会继续深耕，与大家共成长。</w:t>
      </w:r>
    </w:p>
    <w:p w14:paraId="117E79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w:t>
      </w:r>
    </w:p>
    <w:p w14:paraId="53B9BF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1"/>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本学期，我们围绕活动现场的实际问题开展即时微教研，同伴们精准剖析问题、激烈思维碰撞，打破我的思维局限；写作指导讲座让我明白论文选题的敏感性以及逻辑框架的重要性；而人工智能的专题讲座更是打开了我的视野，感受到了人工智能为教育教学注入了全新活力。此外，每次活动中师傅的讲座与引领、同伴们的区域游戏现场及集体活动设计思路、活动现场差异资源的抓取等，都让我收获颇丰。</w:t>
      </w:r>
    </w:p>
    <w:p w14:paraId="26B3A2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1"/>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下学期，我要提升阅读，努力实现“圈层突破”；探索写作与教育教学的深度融合，撰写更具学术价值的教育论文；积极探索人工智能在教学活动中的运用；深入班级了解儿童，注重榜样借鉴与内化，重视经验传达与辐射，并在自我不断检索中，触发自我认识、自我行为的重塑与更新。</w:t>
      </w:r>
    </w:p>
    <w:p w14:paraId="4D47B2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徐惠芬：</w:t>
      </w:r>
    </w:p>
    <w:p w14:paraId="057995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本年度积极将所学用于日常科研与管理，主持区级专题教研，开设区级公开课与讲座合一次，1篇论文获省二等奖、1篇省级期刊发表。作为中层，以身示范带教教师，设计6节原创课，助力教师在各级展示及比赛中获奖。在小班游戏分享上，形成系列策略：定向观察锚定核心；用辅助材料促讲述与互动；构建语言支架提升表达；开放提问驱动深度互动；梳理经验赋能后续游戏。</w:t>
      </w:r>
    </w:p>
    <w:p w14:paraId="7B3E9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下学期将深化益智区情景性游戏开发，形成资源库；提升行政效率，建课程资源云平台；个人聚焦相关研究，撰论文、开公开课或讲座至少1次。</w:t>
      </w:r>
    </w:p>
    <w:p w14:paraId="0B07AB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吴海燕：</w:t>
      </w:r>
    </w:p>
    <w:p w14:paraId="23D865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 xml:space="preserve">在卓越教师成长营的第二年，我以实践为土壤，以深度学习为养分，不断向专业成长进阶。通过研读法理及学前教育专著，结合互动式学习深化教育认知；在区域游戏中，从“环境布置”转向“学习支架搭建”，以即时教研捕捉幼儿行为背后的发展需求；在集体活动中，从“教师主导”进阶为“幼儿思维可视化”，学会倾听与动态回应。两次开放活动（阅读分享、区域展示）让我在“被看见”中收获反思动力。  </w:t>
      </w:r>
    </w:p>
    <w:p w14:paraId="73BDA0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新学年将聚焦两大方向：一是深耕游戏研究，通过跟踪观察解读幼儿行为并做适宜支持，探索游戏与课程的共生关系；二是锤炼师幼互动能力，关注回应的适宜性与支持节奏。</w:t>
      </w:r>
    </w:p>
    <w:p w14:paraId="6E3121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丁亚丽：</w:t>
      </w:r>
    </w:p>
    <w:p w14:paraId="64AEC6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在卓越成长营的这一年，通过参与系列教研活动，我在教学实践、区域支持、教研组织和理论应用上都有了新的收获。</w:t>
      </w:r>
      <w:r>
        <w:rPr>
          <w:rFonts w:hint="default" w:ascii="仿宋" w:hAnsi="仿宋" w:eastAsia="仿宋" w:cs="仿宋"/>
          <w:b/>
          <w:bCs w:val="0"/>
          <w:kern w:val="2"/>
          <w:sz w:val="24"/>
          <w:szCs w:val="24"/>
          <w:shd w:val="clear" w:color="auto" w:fill="auto"/>
          <w:lang w:val="en-US" w:eastAsia="zh-CN" w:bidi="ar-SA"/>
        </w:rPr>
        <w:t>集体教学上</w:t>
      </w:r>
      <w:r>
        <w:rPr>
          <w:rFonts w:hint="default" w:ascii="仿宋" w:hAnsi="仿宋" w:eastAsia="仿宋" w:cs="仿宋"/>
          <w:b w:val="0"/>
          <w:bCs/>
          <w:kern w:val="2"/>
          <w:sz w:val="24"/>
          <w:szCs w:val="24"/>
          <w:shd w:val="clear" w:color="auto" w:fill="auto"/>
          <w:lang w:val="en-US" w:eastAsia="zh-CN" w:bidi="ar-SA"/>
        </w:rPr>
        <w:t>，我不再局限于 “预设流程”，而是学会动态捕捉课堂上的生成性资源，让教学更贴合幼儿的实际需求。</w:t>
      </w:r>
      <w:r>
        <w:rPr>
          <w:rFonts w:hint="default" w:ascii="仿宋" w:hAnsi="仿宋" w:eastAsia="仿宋" w:cs="仿宋"/>
          <w:b/>
          <w:bCs w:val="0"/>
          <w:kern w:val="2"/>
          <w:sz w:val="24"/>
          <w:szCs w:val="24"/>
          <w:shd w:val="clear" w:color="auto" w:fill="auto"/>
          <w:lang w:val="en-US" w:eastAsia="zh-CN" w:bidi="ar-SA"/>
        </w:rPr>
        <w:t>区域活动中</w:t>
      </w:r>
      <w:r>
        <w:rPr>
          <w:rFonts w:hint="default" w:ascii="仿宋" w:hAnsi="仿宋" w:eastAsia="仿宋" w:cs="仿宋"/>
          <w:b w:val="0"/>
          <w:bCs/>
          <w:kern w:val="2"/>
          <w:sz w:val="24"/>
          <w:szCs w:val="24"/>
          <w:shd w:val="clear" w:color="auto" w:fill="auto"/>
          <w:lang w:val="en-US" w:eastAsia="zh-CN" w:bidi="ar-SA"/>
        </w:rPr>
        <w:t>，材料投放从过去的 “堆砌” 转变为 “精准投放”，根据幼儿的发展特点和活动目标提供支持，活动效果明显提升。</w:t>
      </w:r>
      <w:r>
        <w:rPr>
          <w:rFonts w:hint="default" w:ascii="仿宋" w:hAnsi="仿宋" w:eastAsia="仿宋" w:cs="仿宋"/>
          <w:b/>
          <w:bCs w:val="0"/>
          <w:kern w:val="2"/>
          <w:sz w:val="24"/>
          <w:szCs w:val="24"/>
          <w:shd w:val="clear" w:color="auto" w:fill="auto"/>
          <w:lang w:val="en-US" w:eastAsia="zh-CN" w:bidi="ar-SA"/>
        </w:rPr>
        <w:t>教研组织方</w:t>
      </w:r>
      <w:r>
        <w:rPr>
          <w:rFonts w:hint="default" w:ascii="仿宋" w:hAnsi="仿宋" w:eastAsia="仿宋" w:cs="仿宋"/>
          <w:b w:val="0"/>
          <w:bCs/>
          <w:kern w:val="2"/>
          <w:sz w:val="24"/>
          <w:szCs w:val="24"/>
          <w:shd w:val="clear" w:color="auto" w:fill="auto"/>
          <w:lang w:val="en-US" w:eastAsia="zh-CN" w:bidi="ar-SA"/>
        </w:rPr>
        <w:t>面，过去研讨时常 “泛泛而谈”，现在能聚焦具体问题深入分析，通过案例拆解、方法研讨实现深耕，推动问题有效解决。理论学习也打破了 “读文字” 的表层状态，能将教育理论与教学实践结合，用理论指导实践、用实践检验理论。感谢成长营搭建了丰富的学习平台，专家的专业指导帮我突破瓶颈；感谢同行伙伴形成的学习共同体，相互启发、共同进步。这一年的成长，让我更清晰地认识到专业发展的路径，也更坚定了深耕教育的方向。</w:t>
      </w:r>
    </w:p>
    <w:p w14:paraId="4199CE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恽丽华：</w:t>
      </w:r>
    </w:p>
    <w:p w14:paraId="7A0069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 xml:space="preserve"> 2024-2025学年度第二学期，在教育教学工作中，我严守师德，积极参与园内活动，从常规培养、运动能力提升、环境创设三方面推进教学；注重业务学习，通过阅读、观察解决实际问题；与家长关系融洽，“爱心服务站”助力家园共育。但存在拖拉、科研能力待提升等不足，需改进并做到“今日事今日毕”。</w:t>
      </w:r>
    </w:p>
    <w:p w14:paraId="2134D5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徐志国卓越教师成长营中，作为助理，我将以提升管理与研究能力为目标：精读多本专业书籍，聚焦小班关键经验等；优化管理实践，保障成长营活动有序开展；锤炼研究力，通过观摩、实践提升教学与课程建设能力，力争完成公开课、班本课程、反思笔记及案例论文等成果，促进专业成长。</w:t>
      </w:r>
    </w:p>
    <w:p w14:paraId="05C053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肖欢：</w:t>
      </w:r>
    </w:p>
    <w:p w14:paraId="291369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在成长营学习近2年，我围绕“资源建设”和“幼儿游戏”深耕，收获颇丰。</w:t>
      </w:r>
    </w:p>
    <w:p w14:paraId="44AD8D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理念与实践方面，通过时康洁、徐志国等老师的讲座，明晰论文写作与课程建设要点；观摩许惠莲、蒋侃等老师的课例，将游戏化、项目式学习融入教学，如“寻找春天”主题活动，效果明显。专业提升上，参与分组教研解决区域材料投放问题，增强实战能力；分享经验开展全园讲座，实现共同进步。</w:t>
      </w:r>
    </w:p>
    <w:p w14:paraId="34741C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反思不足：AI工具应用、教研主动性、课题研究深度有待加强。下学期计划：阅读专业书籍，提升理论；积极参与教研，主动互动；撰写AI应用案例，优化教学；扎实课题研究，提炼成果。未来我将持续深化理念应用，注重反思与家园合作，在成长营助力下追求更大突破。</w:t>
      </w:r>
    </w:p>
    <w:p w14:paraId="3E4DCA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李伟林：</w:t>
      </w:r>
    </w:p>
    <w:p w14:paraId="052403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 xml:space="preserve"> 本学期，我在成长营重点研究的“资源”方向引领下重点开展了3类资源的实践活动。一是结合《我上小学了》课程挖掘 “时间” 资源，通过多元材料与活动引导幼儿从时间认知走向时间管理倾向；二是重点围绕户外游戏资源挖掘，分析场地、游戏、资源的优缺点，采用 “1+ABC” 模式调整，丰富游戏内容，让场地 “活起来”；三是结合幼儿生活资源支持幼儿毕业季作品的呈现。在这个过程中，我对“资源与课程资源”的差异有了更深入的理解，同时认识到资源与幼儿发展的关系具有双向性——幼儿并非被动的资源接收者，而是通过自身的 “发展需求” 与 “行为特征” 主动筛选和利用资源。为此，在新学期的实践中，我将持续借助观察走进儿童，深入探寻他们在不同活动场景下的真实需求和行为表现，以此为依据更精准地挖掘和运用各类资源，不断完善资源与课程的融合方式，让资源真正服务于幼儿的全面发展，助力他们在自主探索和体验中获得成长。</w:t>
      </w:r>
    </w:p>
    <w:p w14:paraId="76E642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赵翠娇：</w:t>
      </w:r>
    </w:p>
    <w:p w14:paraId="71AE61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回首本学年在成长营的滋养下，我聚焦三次密集的公开课实践，深刻体悟到专业成长如同养花，需要持续浇灌与磨砺。公开课的锤炼</w:t>
      </w:r>
      <w:r>
        <w:rPr>
          <w:rFonts w:hint="eastAsia" w:ascii="仿宋" w:hAnsi="仿宋" w:eastAsia="仿宋" w:cs="仿宋"/>
          <w:b w:val="0"/>
          <w:bCs/>
          <w:kern w:val="2"/>
          <w:sz w:val="24"/>
          <w:szCs w:val="24"/>
          <w:shd w:val="clear" w:color="auto" w:fill="auto"/>
          <w:lang w:val="en-US" w:eastAsia="zh-CN" w:bidi="ar-SA"/>
        </w:rPr>
        <w:t>——</w:t>
      </w:r>
      <w:r>
        <w:rPr>
          <w:rFonts w:hint="default" w:ascii="仿宋" w:hAnsi="仿宋" w:eastAsia="仿宋" w:cs="仿宋"/>
          <w:b w:val="0"/>
          <w:bCs/>
          <w:kern w:val="2"/>
          <w:sz w:val="24"/>
          <w:szCs w:val="24"/>
          <w:shd w:val="clear" w:color="auto" w:fill="auto"/>
          <w:lang w:val="en-US" w:eastAsia="zh-CN" w:bidi="ar-SA"/>
        </w:rPr>
        <w:t>精研细磨（课前）：在成长营活动启发下，我深入实践“微格分析”与多次磨课，不断预设幼儿反应、优化回应策略，并反复调整教具学具，追求活动设计的科学性与有效性。看见儿童（课中）：在成长营学习到的内容促使我克服“目标焦虑”，学会放慢脚步，倾听幼儿语言及行为背后的需求，并把握及时、具体的互动时机，提升师幼互动质量。这些经历让我更坚定“站在儿童视角”的重要性。迁移经验（课后）：孩子一日生活的各个环节都是我们的锻炼场，我们要做到像在集体活动中那样：有意识的倾听与看见，有质量的互动与支持。</w:t>
      </w:r>
    </w:p>
    <w:p w14:paraId="5F07A5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基于成长营的积淀与反思，下学期个人成长主题定为《审己 定向 稳步前行》，</w:t>
      </w:r>
      <w:r>
        <w:rPr>
          <w:rFonts w:hint="eastAsia" w:ascii="仿宋" w:hAnsi="仿宋" w:eastAsia="仿宋" w:cs="仿宋"/>
          <w:b w:val="0"/>
          <w:bCs/>
          <w:kern w:val="2"/>
          <w:sz w:val="24"/>
          <w:szCs w:val="24"/>
          <w:shd w:val="clear" w:color="auto" w:fill="auto"/>
          <w:lang w:val="en-US" w:eastAsia="zh-CN" w:bidi="ar-SA"/>
        </w:rPr>
        <w:t>通过</w:t>
      </w:r>
      <w:r>
        <w:rPr>
          <w:rFonts w:hint="default" w:ascii="仿宋" w:hAnsi="仿宋" w:eastAsia="仿宋" w:cs="仿宋"/>
          <w:b w:val="0"/>
          <w:bCs/>
          <w:kern w:val="2"/>
          <w:sz w:val="24"/>
          <w:szCs w:val="24"/>
          <w:shd w:val="clear" w:color="auto" w:fill="auto"/>
          <w:lang w:val="en-US" w:eastAsia="zh-CN" w:bidi="ar-SA"/>
        </w:rPr>
        <w:t>理论筑基</w:t>
      </w:r>
      <w:r>
        <w:rPr>
          <w:rFonts w:hint="eastAsia" w:ascii="仿宋" w:hAnsi="仿宋" w:eastAsia="仿宋" w:cs="仿宋"/>
          <w:b w:val="0"/>
          <w:bCs/>
          <w:kern w:val="2"/>
          <w:sz w:val="24"/>
          <w:szCs w:val="24"/>
          <w:shd w:val="clear" w:color="auto" w:fill="auto"/>
          <w:lang w:val="en-US" w:eastAsia="zh-CN" w:bidi="ar-SA"/>
        </w:rPr>
        <w:t>、</w:t>
      </w:r>
      <w:r>
        <w:rPr>
          <w:rFonts w:hint="default" w:ascii="仿宋" w:hAnsi="仿宋" w:eastAsia="仿宋" w:cs="仿宋"/>
          <w:b w:val="0"/>
          <w:bCs/>
          <w:kern w:val="2"/>
          <w:sz w:val="24"/>
          <w:szCs w:val="24"/>
          <w:shd w:val="clear" w:color="auto" w:fill="auto"/>
          <w:lang w:val="en-US" w:eastAsia="zh-CN" w:bidi="ar-SA"/>
        </w:rPr>
        <w:t>实践精进</w:t>
      </w:r>
      <w:r>
        <w:rPr>
          <w:rFonts w:hint="eastAsia" w:ascii="仿宋" w:hAnsi="仿宋" w:eastAsia="仿宋" w:cs="仿宋"/>
          <w:b w:val="0"/>
          <w:bCs/>
          <w:kern w:val="2"/>
          <w:sz w:val="24"/>
          <w:szCs w:val="24"/>
          <w:shd w:val="clear" w:color="auto" w:fill="auto"/>
          <w:lang w:val="en-US" w:eastAsia="zh-CN" w:bidi="ar-SA"/>
        </w:rPr>
        <w:t>、</w:t>
      </w:r>
      <w:r>
        <w:rPr>
          <w:rFonts w:hint="default" w:ascii="仿宋" w:hAnsi="仿宋" w:eastAsia="仿宋" w:cs="仿宋"/>
          <w:b w:val="0"/>
          <w:bCs/>
          <w:kern w:val="2"/>
          <w:sz w:val="24"/>
          <w:szCs w:val="24"/>
          <w:shd w:val="clear" w:color="auto" w:fill="auto"/>
          <w:lang w:val="en-US" w:eastAsia="zh-CN" w:bidi="ar-SA"/>
        </w:rPr>
        <w:t>观察赋能</w:t>
      </w:r>
      <w:r>
        <w:rPr>
          <w:rFonts w:hint="eastAsia" w:ascii="仿宋" w:hAnsi="仿宋" w:eastAsia="仿宋" w:cs="仿宋"/>
          <w:b w:val="0"/>
          <w:bCs/>
          <w:kern w:val="2"/>
          <w:sz w:val="24"/>
          <w:szCs w:val="24"/>
          <w:shd w:val="clear" w:color="auto" w:fill="auto"/>
          <w:lang w:val="en-US" w:eastAsia="zh-CN" w:bidi="ar-SA"/>
        </w:rPr>
        <w:t>等有效举措赋能成长。</w:t>
      </w:r>
    </w:p>
    <w:p w14:paraId="60A63C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陈文龙：</w:t>
      </w:r>
    </w:p>
    <w:p w14:paraId="09BCB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 xml:space="preserve">    </w:t>
      </w:r>
      <w:r>
        <w:rPr>
          <w:rFonts w:hint="eastAsia" w:ascii="仿宋" w:hAnsi="仿宋" w:eastAsia="仿宋" w:cs="仿宋"/>
          <w:b w:val="0"/>
          <w:bCs/>
          <w:kern w:val="2"/>
          <w:sz w:val="24"/>
          <w:szCs w:val="24"/>
          <w:shd w:val="clear" w:color="auto" w:fill="auto"/>
          <w:lang w:val="en-US" w:eastAsia="zh-CN" w:bidi="ar-SA"/>
        </w:rPr>
        <w:t>本学期在共读、小组研究（如益智/科探区资源转化）、共研活动（教研/沙龙）及专题教研中收获丰硕，研究意识和专业能力提升。</w:t>
      </w:r>
    </w:p>
    <w:p w14:paraId="4A8745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下学期学习与发展方向：夯实基础：每月精读核心文件，内化关键经验；拓展专业阅读；专注日常观察与高质量师幼互动。发挥优势：深入钻研1-2个领域，互学观摩；探索AI赋能教育，思考其安全、适切的应用。补齐短板：通过课题研究解决真问题；提升课程资源敏感性，动态管理资源以支持学习。学习方法：坚持循序阅读、实践研磨反思、重视每次练兵、注重积累梳理、主动学习并尝试AI工具。期待成长：理论落地运用；观察互动能力精进；研究成果显现；争取申报更高专业梯队。</w:t>
      </w:r>
    </w:p>
    <w:p w14:paraId="3C8F62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陶乐：</w:t>
      </w:r>
    </w:p>
    <w:p w14:paraId="4A9DF3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4个月学习让我收获教育理论、前沿政策与理念，三个方面感悟尤深：</w:t>
      </w:r>
    </w:p>
    <w:p w14:paraId="3A4D11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第一是对游戏价值有新认知，摒弃“为达标设计”的固有思维，行动更具方向与本性 。</w:t>
      </w:r>
    </w:p>
    <w:p w14:paraId="3A464D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第二是高水平游戏应有的6点“抽象特点”，对实践有对标作用，是后续游戏活动组织设计需强化的指导方向，要让每个教育场景成乐园。第三专业成长上，徐老师的“成长性思维”自问，助我跳出依赖与惯性思维，从目标对照、关键截点等维度思考成长。</w:t>
      </w:r>
    </w:p>
    <w:p w14:paraId="18BB65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结合《学前教育法》新要求以及AI人工智能的当下教育背景，个人努力方向为：提升课程领导力；落实纲要与指南；理解儿童、用行发声；以游戏为基，提课程质量；做过程评估，让成长可见。需将所学落地实践，整理徐老师点评、讲座记录，为自身及教学提供针对性学习内容，助力成长，落实在每日教育教学之中。</w:t>
      </w:r>
    </w:p>
    <w:p w14:paraId="6A95DA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专业引领明方向——专家指导助力提升</w:t>
      </w:r>
    </w:p>
    <w:p w14:paraId="74A039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领衔人徐志国老师对本次活</w:t>
      </w:r>
      <w:r>
        <w:rPr>
          <w:rFonts w:hint="eastAsia" w:ascii="仿宋" w:hAnsi="仿宋" w:eastAsia="仿宋" w:cs="仿宋"/>
          <w:sz w:val="24"/>
          <w:szCs w:val="24"/>
          <w:lang w:val="en-US" w:eastAsia="zh-CN"/>
        </w:rPr>
        <w:t>动中每个老师的总结和计划都</w:t>
      </w:r>
      <w:r>
        <w:rPr>
          <w:rFonts w:hint="eastAsia" w:ascii="仿宋" w:hAnsi="仿宋" w:eastAsia="仿宋" w:cs="仿宋"/>
          <w:sz w:val="24"/>
          <w:szCs w:val="24"/>
        </w:rPr>
        <w:t>进行专业点评，并对后续工作进行引领和提升。</w:t>
      </w:r>
    </w:p>
    <w:p w14:paraId="32813E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话题一：整个成长的过程中，要秉持一种成长的基本理念。</w:t>
      </w:r>
    </w:p>
    <w:p w14:paraId="61257A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b/>
          <w:bCs/>
          <w:sz w:val="24"/>
          <w:szCs w:val="24"/>
        </w:rPr>
        <w:t>1.向内求。</w:t>
      </w:r>
      <w:r>
        <w:rPr>
          <w:rFonts w:hint="eastAsia" w:ascii="仿宋" w:hAnsi="仿宋" w:eastAsia="仿宋" w:cs="仿宋"/>
          <w:sz w:val="24"/>
          <w:szCs w:val="24"/>
        </w:rPr>
        <w:t>强调自我反思。</w:t>
      </w:r>
    </w:p>
    <w:p w14:paraId="71EA6E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b/>
          <w:bCs/>
          <w:sz w:val="24"/>
          <w:szCs w:val="24"/>
        </w:rPr>
        <w:t>2.向前看</w:t>
      </w:r>
      <w:r>
        <w:rPr>
          <w:rFonts w:hint="eastAsia" w:ascii="仿宋" w:hAnsi="仿宋" w:eastAsia="仿宋" w:cs="仿宋"/>
          <w:sz w:val="24"/>
          <w:szCs w:val="24"/>
        </w:rPr>
        <w:t>。强调前瞻视野，做价值判断，预设后续可能的机遇。</w:t>
      </w:r>
    </w:p>
    <w:p w14:paraId="527124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b/>
          <w:bCs/>
          <w:sz w:val="24"/>
          <w:szCs w:val="24"/>
        </w:rPr>
        <w:t>3.向微做。</w:t>
      </w:r>
      <w:r>
        <w:rPr>
          <w:rFonts w:hint="eastAsia" w:ascii="仿宋" w:hAnsi="仿宋" w:eastAsia="仿宋" w:cs="仿宋"/>
          <w:sz w:val="24"/>
          <w:szCs w:val="24"/>
        </w:rPr>
        <w:t>强调从小事中积累成长。</w:t>
      </w:r>
    </w:p>
    <w:p w14:paraId="3F954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向内求、向前看、向微做，像这样一个基本的专业成长的定位，因为只有向上扎根，我们才会向下扎根，才能向上生长，这是一个相辅相成</w:t>
      </w:r>
      <w:r>
        <w:rPr>
          <w:rFonts w:hint="eastAsia" w:ascii="仿宋" w:hAnsi="仿宋" w:eastAsia="仿宋" w:cs="仿宋"/>
          <w:sz w:val="24"/>
          <w:szCs w:val="24"/>
          <w:lang w:val="en-US" w:eastAsia="zh-CN"/>
        </w:rPr>
        <w:t>的</w:t>
      </w:r>
      <w:r>
        <w:rPr>
          <w:rFonts w:hint="eastAsia" w:ascii="仿宋" w:hAnsi="仿宋" w:eastAsia="仿宋" w:cs="仿宋"/>
          <w:sz w:val="24"/>
          <w:szCs w:val="24"/>
        </w:rPr>
        <w:t>逻辑关系。</w:t>
      </w:r>
    </w:p>
    <w:p w14:paraId="1980DE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话题二：后续的成长的过程中，重点培养三大能力。</w:t>
      </w:r>
    </w:p>
    <w:p w14:paraId="76A63CB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b/>
          <w:bCs/>
          <w:sz w:val="24"/>
          <w:szCs w:val="24"/>
        </w:rPr>
        <w:t>思想力</w:t>
      </w:r>
      <w:r>
        <w:rPr>
          <w:rFonts w:hint="eastAsia" w:ascii="仿宋" w:hAnsi="仿宋" w:eastAsia="仿宋" w:cs="仿宋"/>
          <w:sz w:val="24"/>
          <w:szCs w:val="24"/>
        </w:rPr>
        <w:t>（对儿童、学前教育、课程改革的思考）。</w:t>
      </w:r>
    </w:p>
    <w:p w14:paraId="27CC6692">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让自己的思想通过学习、通过与同伴的互动碰撞，通过自己的实践，能够有高度、有宽度、有深度。</w:t>
      </w:r>
    </w:p>
    <w:p w14:paraId="14CD377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b/>
          <w:bCs/>
          <w:sz w:val="24"/>
          <w:szCs w:val="24"/>
        </w:rPr>
        <w:t>行动力</w:t>
      </w:r>
      <w:r>
        <w:rPr>
          <w:rFonts w:hint="eastAsia" w:ascii="仿宋" w:hAnsi="仿宋" w:eastAsia="仿宋" w:cs="仿宋"/>
          <w:sz w:val="24"/>
          <w:szCs w:val="24"/>
        </w:rPr>
        <w:t>（强调速度和效度）。</w:t>
      </w:r>
    </w:p>
    <w:p w14:paraId="22DE0D96">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阶梯是经验搭建的阶梯，行动力既要强调速度更要追求效度。</w:t>
      </w:r>
    </w:p>
    <w:p w14:paraId="1C08F9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b/>
          <w:bCs/>
          <w:sz w:val="24"/>
          <w:szCs w:val="24"/>
        </w:rPr>
        <w:t>3.思辨力</w:t>
      </w:r>
      <w:r>
        <w:rPr>
          <w:rFonts w:hint="eastAsia" w:ascii="仿宋" w:hAnsi="仿宋" w:eastAsia="仿宋" w:cs="仿宋"/>
          <w:sz w:val="24"/>
          <w:szCs w:val="24"/>
        </w:rPr>
        <w:t>（保持冷静理性，进行精准分析）。</w:t>
      </w:r>
    </w:p>
    <w:p w14:paraId="606D48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这个过程中最重要的一个数量就是研究。在我们最日常的保教工作中，用研究的态度和方法去解决我们遇到的每一个难题和每一份挑战，就会让我们慢慢的去积聚这三大能力。</w:t>
      </w:r>
    </w:p>
    <w:p w14:paraId="35F74B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话题三：后续成长营研究中，聚焦四个方面。</w:t>
      </w:r>
    </w:p>
    <w:p w14:paraId="236BAA34">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提升阅读，打开视野。</w:t>
      </w:r>
    </w:p>
    <w:p w14:paraId="5D46D912">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人的成长需要通过阅读去打破我们的脚步不能到达的地方，让我们的思想能够得上。</w:t>
      </w:r>
    </w:p>
    <w:p w14:paraId="4824BB13">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研究儿童，改造观念。（儿童观、教育观、课程观）。</w:t>
      </w:r>
    </w:p>
    <w:p w14:paraId="4480DBFB">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研究儿童是我们的主要工作，通过研究儿童去进一步的改造我们儿童观、</w:t>
      </w:r>
      <w:r>
        <w:rPr>
          <w:rFonts w:hint="eastAsia" w:ascii="仿宋" w:hAnsi="仿宋" w:eastAsia="仿宋" w:cs="仿宋"/>
          <w:sz w:val="24"/>
          <w:szCs w:val="24"/>
          <w:lang w:val="en-US" w:eastAsia="zh-CN"/>
        </w:rPr>
        <w:t>教</w:t>
      </w:r>
      <w:r>
        <w:rPr>
          <w:rFonts w:hint="eastAsia" w:ascii="仿宋" w:hAnsi="仿宋" w:eastAsia="仿宋" w:cs="仿宋"/>
          <w:sz w:val="24"/>
          <w:szCs w:val="24"/>
        </w:rPr>
        <w:t>育观和课程观。</w:t>
      </w:r>
    </w:p>
    <w:p w14:paraId="069588F3">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务实行动，夯实实践力。</w:t>
      </w:r>
    </w:p>
    <w:p w14:paraId="7B9A3080">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夯实我们的实践力就是不管是每一次成长营的活动，还是每一天在自己幼儿园自己岗位上开展的行动，大家都要把它锻炼成、自我提升的一个很重要的阶梯。</w:t>
      </w:r>
    </w:p>
    <w:p w14:paraId="5F52E563">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融通技术，永攀高峰。（信息化、数字化与教育的结合）。</w:t>
      </w:r>
    </w:p>
    <w:p w14:paraId="73448E3D">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要保持一种敏感度，通过自己的实践，把信息技术和专业发展、班级的日常教育、岗位管理建立关系，做成一到两个样本去引领园所、引领教师团队叫融通技术。</w:t>
      </w:r>
    </w:p>
    <w:p w14:paraId="628682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p>
    <w:p w14:paraId="685BCA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9A9D3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14:paraId="192035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出稿人：吴莉樱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A151B"/>
    <w:multiLevelType w:val="singleLevel"/>
    <w:tmpl w:val="2E8A151B"/>
    <w:lvl w:ilvl="0" w:tentative="0">
      <w:start w:val="1"/>
      <w:numFmt w:val="decimal"/>
      <w:lvlText w:val="%1."/>
      <w:lvlJc w:val="left"/>
      <w:pPr>
        <w:tabs>
          <w:tab w:val="left" w:pos="312"/>
        </w:tabs>
      </w:pPr>
    </w:lvl>
  </w:abstractNum>
  <w:abstractNum w:abstractNumId="1">
    <w:nsid w:val="71090FA9"/>
    <w:multiLevelType w:val="singleLevel"/>
    <w:tmpl w:val="71090FA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546E88"/>
    <w:rsid w:val="09D678FF"/>
    <w:rsid w:val="0A2A19F9"/>
    <w:rsid w:val="0B2C56BA"/>
    <w:rsid w:val="0FCE1A39"/>
    <w:rsid w:val="105E1E7F"/>
    <w:rsid w:val="11895290"/>
    <w:rsid w:val="152B6CD2"/>
    <w:rsid w:val="16D606E4"/>
    <w:rsid w:val="17AB5071"/>
    <w:rsid w:val="17E94CA2"/>
    <w:rsid w:val="19536B15"/>
    <w:rsid w:val="1B4F0638"/>
    <w:rsid w:val="1B614851"/>
    <w:rsid w:val="1BF37E81"/>
    <w:rsid w:val="1C613762"/>
    <w:rsid w:val="1CB4143F"/>
    <w:rsid w:val="1DA97952"/>
    <w:rsid w:val="2007299B"/>
    <w:rsid w:val="201868BF"/>
    <w:rsid w:val="20692E24"/>
    <w:rsid w:val="20F70D8D"/>
    <w:rsid w:val="21676C37"/>
    <w:rsid w:val="216F49AF"/>
    <w:rsid w:val="21C04C5F"/>
    <w:rsid w:val="231A0405"/>
    <w:rsid w:val="24A73F1B"/>
    <w:rsid w:val="25184DDE"/>
    <w:rsid w:val="254F76B5"/>
    <w:rsid w:val="2929608B"/>
    <w:rsid w:val="29600DAC"/>
    <w:rsid w:val="2AB21D2F"/>
    <w:rsid w:val="2C613EAA"/>
    <w:rsid w:val="33D1497C"/>
    <w:rsid w:val="34B77590"/>
    <w:rsid w:val="34FE4DB5"/>
    <w:rsid w:val="361E6007"/>
    <w:rsid w:val="37DF5322"/>
    <w:rsid w:val="3B251BE5"/>
    <w:rsid w:val="3B476337"/>
    <w:rsid w:val="3D962926"/>
    <w:rsid w:val="3EFB0CD5"/>
    <w:rsid w:val="410B53D9"/>
    <w:rsid w:val="43AB3779"/>
    <w:rsid w:val="447B4307"/>
    <w:rsid w:val="44D72475"/>
    <w:rsid w:val="46805F22"/>
    <w:rsid w:val="46A1270B"/>
    <w:rsid w:val="46CD415B"/>
    <w:rsid w:val="48901397"/>
    <w:rsid w:val="4B6A269C"/>
    <w:rsid w:val="4CE35FB5"/>
    <w:rsid w:val="50811214"/>
    <w:rsid w:val="53D73A71"/>
    <w:rsid w:val="54750256"/>
    <w:rsid w:val="58115CD7"/>
    <w:rsid w:val="58193D51"/>
    <w:rsid w:val="5B497397"/>
    <w:rsid w:val="5B597E09"/>
    <w:rsid w:val="5D3513BC"/>
    <w:rsid w:val="5F7E34EF"/>
    <w:rsid w:val="60CF38D6"/>
    <w:rsid w:val="60D809DC"/>
    <w:rsid w:val="632E1B19"/>
    <w:rsid w:val="63AB6D7F"/>
    <w:rsid w:val="63BA3A3B"/>
    <w:rsid w:val="66045B9D"/>
    <w:rsid w:val="667117F0"/>
    <w:rsid w:val="68AC1D11"/>
    <w:rsid w:val="68BD2E1F"/>
    <w:rsid w:val="6BF3727E"/>
    <w:rsid w:val="6C4D7D09"/>
    <w:rsid w:val="6CD45EDE"/>
    <w:rsid w:val="6E287409"/>
    <w:rsid w:val="705E6A4B"/>
    <w:rsid w:val="73DE57C3"/>
    <w:rsid w:val="76311DBA"/>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5604</Words>
  <Characters>5630</Characters>
  <Lines>24</Lines>
  <Paragraphs>6</Paragraphs>
  <TotalTime>395</TotalTime>
  <ScaleCrop>false</ScaleCrop>
  <LinksUpToDate>false</LinksUpToDate>
  <CharactersWithSpaces>5678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大白兔</cp:lastModifiedBy>
  <dcterms:modified xsi:type="dcterms:W3CDTF">2025-07-08T08:32:01Z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C8DD7C8DAAFF487DB0B8E95ADB361C35_13</vt:lpwstr>
  </property>
  <property fmtid="{D5CDD505-2E9C-101B-9397-08002B2CF9AE}" pid="4" name="KSOTemplateDocerSaveRecord">
    <vt:lpwstr>eyJoZGlkIjoiZTA4NzIyN2MxYTlmMzQ1NGE2MjU5NWRkMjhlOGMxYTAiLCJ1c2VySWQiOiIyMzg3NjA0MTMifQ==</vt:lpwstr>
  </property>
</Properties>
</file>