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822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 w:val="36"/>
          <w:szCs w:val="44"/>
        </w:rPr>
      </w:pPr>
      <w:r>
        <w:rPr>
          <w:rFonts w:hint="eastAsia"/>
          <w:b/>
          <w:bCs/>
          <w:sz w:val="36"/>
          <w:szCs w:val="44"/>
        </w:rPr>
        <w:t>《深度学习导向下小学数学学习任务设计与实施的研究》</w:t>
      </w:r>
    </w:p>
    <w:p w14:paraId="5F890A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 w:hAnsi="楷体" w:eastAsia="楷体" w:cs="楷体"/>
          <w:sz w:val="28"/>
          <w:szCs w:val="36"/>
        </w:rPr>
      </w:pPr>
      <w:r>
        <w:rPr>
          <w:rFonts w:hint="eastAsia" w:ascii="楷体" w:hAnsi="楷体" w:eastAsia="楷体" w:cs="楷体"/>
          <w:sz w:val="28"/>
          <w:szCs w:val="36"/>
        </w:rPr>
        <w:t>课题研究中期报告</w:t>
      </w:r>
    </w:p>
    <w:p w14:paraId="2515FC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常州市新北区龙虎塘第二实验小学荆亚琴</w:t>
      </w:r>
    </w:p>
    <w:p w14:paraId="3BD807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常州市龙城小学王妍</w:t>
      </w:r>
    </w:p>
    <w:p w14:paraId="742EB5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lang w:val="en-US" w:eastAsia="zh-CN"/>
        </w:rPr>
      </w:pPr>
      <w:r>
        <w:rPr>
          <w:rFonts w:hint="eastAsia"/>
          <w:sz w:val="24"/>
          <w:szCs w:val="32"/>
          <w:lang w:val="en-US" w:eastAsia="zh-CN"/>
        </w:rPr>
        <w:t>。</w:t>
      </w:r>
    </w:p>
    <w:p w14:paraId="6D553009">
      <w:pPr>
        <w:keepNext w:val="0"/>
        <w:keepLines w:val="0"/>
        <w:pageBreakBefore w:val="0"/>
        <w:widowControl w:val="0"/>
        <w:kinsoku/>
        <w:wordWrap/>
        <w:overflowPunct/>
        <w:topLinePunct w:val="0"/>
        <w:autoSpaceDE/>
        <w:autoSpaceDN/>
        <w:bidi w:val="0"/>
        <w:adjustRightInd/>
        <w:snapToGrid/>
        <w:spacing w:line="360" w:lineRule="auto"/>
        <w:ind w:firstLine="964" w:firstLineChars="300"/>
        <w:jc w:val="center"/>
        <w:textAlignment w:val="auto"/>
        <w:rPr>
          <w:rFonts w:hint="eastAsia" w:ascii="黑体" w:hAnsi="黑体" w:eastAsia="黑体" w:cs="黑体"/>
          <w:b/>
          <w:bCs/>
          <w:sz w:val="32"/>
          <w:szCs w:val="40"/>
        </w:rPr>
      </w:pPr>
      <w:r>
        <w:rPr>
          <w:rFonts w:hint="eastAsia" w:ascii="黑体" w:hAnsi="黑体" w:eastAsia="黑体" w:cs="黑体"/>
          <w:b/>
          <w:bCs/>
          <w:sz w:val="32"/>
          <w:szCs w:val="40"/>
        </w:rPr>
        <w:t>一、研究的基本情况</w:t>
      </w:r>
    </w:p>
    <w:p w14:paraId="362008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32"/>
        </w:rPr>
      </w:pPr>
      <w:r>
        <w:rPr>
          <w:rFonts w:hint="eastAsia"/>
          <w:b/>
          <w:bCs/>
          <w:sz w:val="24"/>
          <w:szCs w:val="32"/>
        </w:rPr>
        <w:t>（一）意义与价值</w:t>
      </w:r>
    </w:p>
    <w:p w14:paraId="5EF4BC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在小学数学教学领域，开展深度学习导向下的学习任务设计与实施研究具有重要的现实意义与理论价值。从现实层面来看，当前小学数学教学中存在着任务设计过于碎片化、缺乏思维深度、与学生实际生活联系不紧密等问题，导致学生难以形成系统的知识体系和高阶思维能力。而深度学习强调学生对知识的深层次理解、迁移应用和批判性思维的培养，通过科学合理的学习任务设计，可以引导学生主动探究、深度思考，提升数学学习的质量和效率，为学生的终身学习和发展奠定基础。</w:t>
      </w:r>
    </w:p>
    <w:p w14:paraId="2CEF62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rPr>
        <w:t>从理论层面而言，该研究有助于探索适合小学生认知特点的学习任务设计模式和实施策略，同时，本研究的成果也可为一线教师提供具体的实践指导</w:t>
      </w:r>
      <w:r>
        <w:rPr>
          <w:rFonts w:hint="eastAsia"/>
          <w:sz w:val="24"/>
          <w:szCs w:val="32"/>
          <w:lang w:eastAsia="zh-CN"/>
        </w:rPr>
        <w:t>。</w:t>
      </w:r>
    </w:p>
    <w:p w14:paraId="5B2187F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32"/>
        </w:rPr>
      </w:pPr>
      <w:r>
        <w:rPr>
          <w:rFonts w:hint="eastAsia"/>
          <w:b/>
          <w:bCs/>
          <w:sz w:val="24"/>
          <w:szCs w:val="32"/>
        </w:rPr>
        <w:t>（二）概念与界定</w:t>
      </w:r>
    </w:p>
    <w:p w14:paraId="78240BA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sz w:val="24"/>
          <w:szCs w:val="32"/>
        </w:rPr>
      </w:pPr>
      <w:r>
        <w:rPr>
          <w:rFonts w:hint="eastAsia"/>
          <w:b/>
          <w:bCs/>
          <w:sz w:val="24"/>
          <w:szCs w:val="32"/>
        </w:rPr>
        <w:t>深度学习：</w:t>
      </w:r>
      <w:r>
        <w:rPr>
          <w:rFonts w:hint="eastAsia"/>
          <w:sz w:val="24"/>
          <w:szCs w:val="32"/>
          <w:lang w:val="en-US" w:eastAsia="zh-CN"/>
        </w:rPr>
        <w:t>是基于学习者自发的、自主性的内在学习动机，并依靠对问题本身探究的内在兴趣维持的，一种长期的、全身心投入的持久学习力。</w:t>
      </w:r>
      <w:r>
        <w:rPr>
          <w:rStyle w:val="9"/>
          <w:rFonts w:hint="eastAsia"/>
          <w:sz w:val="24"/>
          <w:szCs w:val="32"/>
          <w:lang w:val="en-US" w:eastAsia="zh-CN"/>
        </w:rPr>
        <w:footnoteReference w:id="0"/>
      </w:r>
      <w:r>
        <w:rPr>
          <w:rFonts w:hint="eastAsia"/>
          <w:sz w:val="24"/>
          <w:szCs w:val="32"/>
        </w:rPr>
        <w:t>学生在理解的基础上，能够将新知识与已有的认知结构相联系，进行批判性思考、知识迁移和应用，从而实现对知识的深层次掌握和能力的提升。在小学数学中，深度学习表现为学生能够运用数学思维方法解决复杂问题，理解数学知识的本质和内在联系。</w:t>
      </w:r>
    </w:p>
    <w:p w14:paraId="02F9B7A1">
      <w:pPr>
        <w:numPr>
          <w:ilvl w:val="0"/>
          <w:numId w:val="0"/>
        </w:numPr>
        <w:spacing w:line="360" w:lineRule="auto"/>
        <w:ind w:firstLine="482" w:firstLineChars="200"/>
        <w:rPr>
          <w:rFonts w:hint="eastAsia"/>
          <w:sz w:val="24"/>
          <w:szCs w:val="32"/>
        </w:rPr>
      </w:pPr>
      <w:r>
        <w:rPr>
          <w:rFonts w:hint="eastAsia"/>
          <w:b/>
          <w:bCs/>
          <w:sz w:val="24"/>
          <w:szCs w:val="32"/>
        </w:rPr>
        <w:t>学习任务设计：</w:t>
      </w:r>
      <w:r>
        <w:rPr>
          <w:rFonts w:hint="eastAsia"/>
          <w:sz w:val="24"/>
          <w:szCs w:val="32"/>
          <w:lang w:val="en-US" w:eastAsia="zh-CN"/>
        </w:rPr>
        <w:t>学生对数学的认知和理解是在完成数学学习任务的过程中逐步实现的，因此学习任务的质量影响着学生数学学习的效果。牛津大学数学教育教授Watson和蒙纳士大学教育学教授Sullivan认为，数学学习任务是指学生在数学课上能够理解的问题、情境和指令。</w:t>
      </w:r>
      <w:r>
        <w:rPr>
          <w:rFonts w:hint="eastAsia"/>
          <w:sz w:val="24"/>
          <w:szCs w:val="32"/>
          <w:vertAlign w:val="superscript"/>
          <w:lang w:val="en-US" w:eastAsia="zh-CN"/>
        </w:rPr>
        <w:footnoteReference w:id="1"/>
      </w:r>
      <w:r>
        <w:rPr>
          <w:rFonts w:hint="eastAsia"/>
          <w:sz w:val="24"/>
          <w:szCs w:val="32"/>
          <w:lang w:val="en-US" w:eastAsia="zh-CN"/>
        </w:rPr>
        <w:t>美国数学教育研究者认为，数学学习任务是将学生的注意力集中在与数学内容相关的一系列问题或一个复杂问题上的数学活动。</w:t>
      </w:r>
      <w:r>
        <w:rPr>
          <w:rFonts w:hint="eastAsia"/>
          <w:sz w:val="24"/>
          <w:szCs w:val="32"/>
          <w:vertAlign w:val="superscript"/>
          <w:lang w:val="en-US" w:eastAsia="zh-CN"/>
        </w:rPr>
        <w:footnoteReference w:id="2"/>
      </w:r>
      <w:r>
        <w:rPr>
          <w:rFonts w:hint="eastAsia"/>
          <w:sz w:val="24"/>
          <w:szCs w:val="32"/>
          <w:lang w:val="en-US" w:eastAsia="zh-CN"/>
        </w:rPr>
        <w:t>结合以上论述和小学数学教学的现状及特点，本课题所指的学习任务</w:t>
      </w:r>
      <w:r>
        <w:rPr>
          <w:rFonts w:hint="eastAsia"/>
          <w:sz w:val="24"/>
          <w:szCs w:val="32"/>
        </w:rPr>
        <w:t>是指教师根据教学目标、学生的认知水平和数学学科特点，设计具有挑战性、探究性和层次性的学习任务，以引导学生开展深度学习的教学活动。学习任务设计需要考虑任务的情境创设、问题设置、思维引导等方面。</w:t>
      </w:r>
    </w:p>
    <w:p w14:paraId="69EEA54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sz w:val="24"/>
          <w:szCs w:val="32"/>
        </w:rPr>
      </w:pPr>
      <w:r>
        <w:rPr>
          <w:rFonts w:hint="eastAsia"/>
          <w:b/>
          <w:bCs/>
          <w:sz w:val="24"/>
          <w:szCs w:val="32"/>
        </w:rPr>
        <w:t>实施：</w:t>
      </w:r>
      <w:r>
        <w:rPr>
          <w:rFonts w:hint="eastAsia"/>
          <w:sz w:val="24"/>
          <w:szCs w:val="32"/>
        </w:rPr>
        <w:t>指将设计好的学习任务在课堂教学中进行具体操作和实践，通过教师的引导和学生的自主探究、合作交流等方式，实现学习任务的目标，促进学生的深度学习。</w:t>
      </w:r>
    </w:p>
    <w:p w14:paraId="198438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32"/>
        </w:rPr>
      </w:pPr>
      <w:r>
        <w:rPr>
          <w:rFonts w:hint="eastAsia"/>
          <w:b/>
          <w:bCs/>
          <w:sz w:val="24"/>
          <w:szCs w:val="32"/>
        </w:rPr>
        <w:t>（三）目标与内容</w:t>
      </w:r>
    </w:p>
    <w:p w14:paraId="6CAC25F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32"/>
        </w:rPr>
      </w:pPr>
      <w:r>
        <w:rPr>
          <w:rFonts w:hint="eastAsia"/>
          <w:b/>
          <w:bCs/>
          <w:sz w:val="24"/>
          <w:szCs w:val="32"/>
          <w:lang w:val="en-US" w:eastAsia="zh-CN"/>
        </w:rPr>
        <w:t>1.</w:t>
      </w:r>
      <w:r>
        <w:rPr>
          <w:rFonts w:hint="eastAsia"/>
          <w:b/>
          <w:bCs/>
          <w:sz w:val="24"/>
          <w:szCs w:val="32"/>
        </w:rPr>
        <w:t>研究目标：</w:t>
      </w:r>
    </w:p>
    <w:p w14:paraId="716FD1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（1）调研并梳理明确教师开展小学数学学习任务设计与实施过程中的现实问题及原因。</w:t>
      </w:r>
    </w:p>
    <w:p w14:paraId="3029E6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（2）开展深度学习视域下小学数学学习任务设计框架的构建及课例设计的研究。</w:t>
      </w:r>
    </w:p>
    <w:p w14:paraId="03D5C2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szCs w:val="32"/>
          <w:lang w:eastAsia="zh-CN"/>
        </w:rPr>
      </w:pPr>
      <w:r>
        <w:rPr>
          <w:rFonts w:hint="eastAsia"/>
          <w:sz w:val="24"/>
          <w:szCs w:val="32"/>
        </w:rPr>
        <w:t>（3）形成基于深度学习理论下，开展小学数学学习任务设计评价量规的研究。</w:t>
      </w:r>
    </w:p>
    <w:p w14:paraId="33B209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（4）探究深度学习视域下小学数学学习任务的育人逻辑、核心理念和实施路径，形成促进小学教师专业素养提升的具体策略。</w:t>
      </w:r>
    </w:p>
    <w:p w14:paraId="3571373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Theme="minorEastAsia"/>
          <w:b/>
          <w:bCs/>
          <w:sz w:val="24"/>
          <w:szCs w:val="32"/>
          <w:lang w:eastAsia="zh-CN"/>
        </w:rPr>
      </w:pPr>
      <w:r>
        <w:rPr>
          <w:rFonts w:hint="eastAsia"/>
          <w:b/>
          <w:bCs/>
          <w:sz w:val="24"/>
          <w:szCs w:val="32"/>
          <w:lang w:val="en-US" w:eastAsia="zh-CN"/>
        </w:rPr>
        <w:t>2.</w:t>
      </w:r>
      <w:r>
        <w:rPr>
          <w:rFonts w:hint="eastAsia"/>
          <w:b/>
          <w:bCs/>
          <w:sz w:val="24"/>
          <w:szCs w:val="32"/>
        </w:rPr>
        <w:t>研究内容</w:t>
      </w:r>
    </w:p>
    <w:p w14:paraId="3839501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32"/>
          <w:u w:val="none"/>
        </w:rPr>
      </w:pPr>
      <w:r>
        <w:rPr>
          <w:rFonts w:hint="eastAsia"/>
          <w:b/>
          <w:bCs/>
          <w:sz w:val="24"/>
          <w:szCs w:val="32"/>
          <w:u w:val="none"/>
        </w:rPr>
        <w:t>（1）</w:t>
      </w:r>
      <w:r>
        <w:rPr>
          <w:rFonts w:hint="eastAsia"/>
          <w:b/>
          <w:bCs/>
          <w:sz w:val="24"/>
          <w:szCs w:val="32"/>
          <w:u w:val="none"/>
          <w:lang w:val="en-US" w:eastAsia="zh-CN"/>
        </w:rPr>
        <w:t>数学</w:t>
      </w:r>
      <w:r>
        <w:rPr>
          <w:rFonts w:hint="eastAsia"/>
          <w:b/>
          <w:bCs/>
          <w:sz w:val="24"/>
          <w:szCs w:val="32"/>
          <w:u w:val="none"/>
        </w:rPr>
        <w:t>教师</w:t>
      </w:r>
      <w:r>
        <w:rPr>
          <w:rFonts w:hint="eastAsia"/>
          <w:b/>
          <w:bCs/>
          <w:sz w:val="24"/>
          <w:szCs w:val="32"/>
          <w:u w:val="none"/>
          <w:lang w:val="en-US" w:eastAsia="zh-CN"/>
        </w:rPr>
        <w:t>对</w:t>
      </w:r>
      <w:r>
        <w:rPr>
          <w:rFonts w:hint="eastAsia"/>
          <w:b/>
          <w:bCs/>
          <w:sz w:val="24"/>
          <w:szCs w:val="32"/>
          <w:u w:val="none"/>
        </w:rPr>
        <w:t>小学数学学习任务设计、课堂教学方式与课程执行能力的现状调查研究。</w:t>
      </w:r>
    </w:p>
    <w:p w14:paraId="26EDF1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①通过访谈与现场教学评估等方式，深入课堂了解教师教学设计、教学方式的现状，进行问题归因分析，为课题研究的展开提供假设前提。</w:t>
      </w:r>
    </w:p>
    <w:p w14:paraId="690AFB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②深入并蹲点数学组校本教研活动，了解学校教师在开展小学数学学习任务设计、教学实施过程中的瓶颈问题及发展需求，探寻存在的可改善的路径。</w:t>
      </w:r>
    </w:p>
    <w:p w14:paraId="5CD1F8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Theme="minorEastAsia"/>
          <w:b/>
          <w:bCs/>
          <w:sz w:val="24"/>
          <w:szCs w:val="32"/>
          <w:u w:val="none"/>
          <w:lang w:eastAsia="zh-CN"/>
        </w:rPr>
      </w:pPr>
      <w:r>
        <w:rPr>
          <w:rFonts w:hint="eastAsia"/>
          <w:b/>
          <w:bCs/>
          <w:sz w:val="24"/>
          <w:szCs w:val="32"/>
          <w:u w:val="none"/>
        </w:rPr>
        <w:t>（2）形成基于</w:t>
      </w:r>
      <w:r>
        <w:rPr>
          <w:rFonts w:hint="eastAsia"/>
          <w:b/>
          <w:bCs/>
          <w:sz w:val="24"/>
          <w:szCs w:val="32"/>
          <w:u w:val="none"/>
          <w:lang w:eastAsia="zh-CN"/>
        </w:rPr>
        <w:t>深度学习导向</w:t>
      </w:r>
      <w:r>
        <w:rPr>
          <w:rFonts w:hint="eastAsia"/>
          <w:b/>
          <w:bCs/>
          <w:sz w:val="24"/>
          <w:szCs w:val="32"/>
          <w:u w:val="none"/>
        </w:rPr>
        <w:t>下，开展小学数学学习任务设计框架的构建及课例设计的研究。</w:t>
      </w:r>
    </w:p>
    <w:p w14:paraId="1019C1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①构建</w:t>
      </w:r>
      <w:r>
        <w:rPr>
          <w:rFonts w:hint="eastAsia"/>
          <w:sz w:val="24"/>
          <w:szCs w:val="32"/>
          <w:lang w:eastAsia="zh-CN"/>
        </w:rPr>
        <w:t>深度学习导向</w:t>
      </w:r>
      <w:r>
        <w:rPr>
          <w:rFonts w:hint="eastAsia"/>
          <w:sz w:val="24"/>
          <w:szCs w:val="32"/>
        </w:rPr>
        <w:t>下的“小学数学学习任务设计框架”，形成小学数学学习任务设计的操作路径。</w:t>
      </w:r>
    </w:p>
    <w:p w14:paraId="6B05D1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②开发基于</w:t>
      </w:r>
      <w:r>
        <w:rPr>
          <w:rFonts w:hint="eastAsia"/>
          <w:sz w:val="24"/>
          <w:szCs w:val="32"/>
          <w:lang w:eastAsia="zh-CN"/>
        </w:rPr>
        <w:t>深度学习导向</w:t>
      </w:r>
      <w:r>
        <w:rPr>
          <w:rFonts w:hint="eastAsia"/>
          <w:sz w:val="24"/>
          <w:szCs w:val="32"/>
        </w:rPr>
        <w:t>下不同学科课程（含跨学科课程）小学数学学习任务设计案例。</w:t>
      </w:r>
    </w:p>
    <w:p w14:paraId="41BAE7F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Theme="minorEastAsia"/>
          <w:b/>
          <w:bCs/>
          <w:sz w:val="24"/>
          <w:szCs w:val="32"/>
          <w:u w:val="none"/>
          <w:lang w:eastAsia="zh-CN"/>
        </w:rPr>
      </w:pPr>
      <w:r>
        <w:rPr>
          <w:rFonts w:hint="eastAsia"/>
          <w:b/>
          <w:bCs/>
          <w:sz w:val="24"/>
          <w:szCs w:val="32"/>
          <w:u w:val="none"/>
        </w:rPr>
        <w:t>（3）形成基于</w:t>
      </w:r>
      <w:r>
        <w:rPr>
          <w:rFonts w:hint="eastAsia"/>
          <w:b/>
          <w:bCs/>
          <w:sz w:val="24"/>
          <w:szCs w:val="32"/>
          <w:u w:val="none"/>
          <w:lang w:eastAsia="zh-CN"/>
        </w:rPr>
        <w:t>深度学习导向</w:t>
      </w:r>
      <w:r>
        <w:rPr>
          <w:rFonts w:hint="eastAsia"/>
          <w:b/>
          <w:bCs/>
          <w:sz w:val="24"/>
          <w:szCs w:val="32"/>
          <w:u w:val="none"/>
        </w:rPr>
        <w:t>下，开展小学数学学习任务设计评价量规的研究。</w:t>
      </w:r>
    </w:p>
    <w:p w14:paraId="707519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①围绕学科课程方案、学科关键能力、教学目标等，开发评价的指标体系。</w:t>
      </w:r>
    </w:p>
    <w:p w14:paraId="34B4E8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②根据指标体系，选择教学评价方式，制定教学评价标准，研制评价量规。</w:t>
      </w:r>
    </w:p>
    <w:p w14:paraId="5D77864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32"/>
          <w:u w:val="none"/>
        </w:rPr>
      </w:pPr>
      <w:r>
        <w:rPr>
          <w:rFonts w:hint="eastAsia"/>
          <w:b/>
          <w:bCs/>
          <w:sz w:val="24"/>
          <w:szCs w:val="32"/>
          <w:u w:val="none"/>
        </w:rPr>
        <w:t>（4）转换研修方式，探索</w:t>
      </w:r>
      <w:r>
        <w:rPr>
          <w:rFonts w:hint="eastAsia"/>
          <w:b/>
          <w:bCs/>
          <w:sz w:val="24"/>
          <w:szCs w:val="32"/>
          <w:u w:val="none"/>
          <w:lang w:eastAsia="zh-CN"/>
        </w:rPr>
        <w:t>深度学习导向</w:t>
      </w:r>
      <w:r>
        <w:rPr>
          <w:rFonts w:hint="eastAsia"/>
          <w:b/>
          <w:bCs/>
          <w:sz w:val="24"/>
          <w:szCs w:val="32"/>
          <w:u w:val="none"/>
        </w:rPr>
        <w:t>下开展小学数学学习任务设计的研训模块实施策略的研究。</w:t>
      </w:r>
    </w:p>
    <w:p w14:paraId="36A42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①形成提升教师</w:t>
      </w:r>
      <w:r>
        <w:rPr>
          <w:rFonts w:hint="eastAsia"/>
          <w:sz w:val="24"/>
          <w:szCs w:val="32"/>
          <w:lang w:eastAsia="zh-CN"/>
        </w:rPr>
        <w:t>深度学习导向</w:t>
      </w:r>
      <w:r>
        <w:rPr>
          <w:rFonts w:hint="eastAsia"/>
          <w:sz w:val="24"/>
          <w:szCs w:val="32"/>
        </w:rPr>
        <w:t>下开展小学数学学习任务设计的校本化实施的路径与研训模块。</w:t>
      </w:r>
    </w:p>
    <w:p w14:paraId="608957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②探索并形成促进教师教学设计专业素养提升、学生核心素养发展的具体策略。</w:t>
      </w:r>
    </w:p>
    <w:p w14:paraId="21732F87">
      <w:pPr>
        <w:keepNext w:val="0"/>
        <w:keepLines w:val="0"/>
        <w:pageBreakBefore w:val="0"/>
        <w:widowControl w:val="0"/>
        <w:kinsoku/>
        <w:wordWrap/>
        <w:overflowPunct/>
        <w:topLinePunct w:val="0"/>
        <w:autoSpaceDE/>
        <w:autoSpaceDN/>
        <w:bidi w:val="0"/>
        <w:adjustRightInd/>
        <w:snapToGrid/>
        <w:spacing w:line="360" w:lineRule="auto"/>
        <w:ind w:firstLine="964" w:firstLineChars="300"/>
        <w:jc w:val="center"/>
        <w:textAlignment w:val="auto"/>
        <w:rPr>
          <w:rFonts w:hint="eastAsia" w:ascii="黑体" w:hAnsi="黑体" w:eastAsia="黑体" w:cs="黑体"/>
          <w:b/>
          <w:bCs/>
          <w:sz w:val="32"/>
          <w:szCs w:val="40"/>
        </w:rPr>
      </w:pPr>
    </w:p>
    <w:p w14:paraId="5DB0EFCD">
      <w:pPr>
        <w:keepNext w:val="0"/>
        <w:keepLines w:val="0"/>
        <w:pageBreakBefore w:val="0"/>
        <w:widowControl w:val="0"/>
        <w:kinsoku/>
        <w:wordWrap/>
        <w:overflowPunct/>
        <w:topLinePunct w:val="0"/>
        <w:autoSpaceDE/>
        <w:autoSpaceDN/>
        <w:bidi w:val="0"/>
        <w:adjustRightInd/>
        <w:snapToGrid/>
        <w:spacing w:line="360" w:lineRule="auto"/>
        <w:ind w:firstLine="964" w:firstLineChars="300"/>
        <w:jc w:val="center"/>
        <w:textAlignment w:val="auto"/>
        <w:rPr>
          <w:rFonts w:hint="eastAsia" w:ascii="黑体" w:hAnsi="黑体" w:eastAsia="黑体" w:cs="黑体"/>
          <w:b/>
          <w:bCs/>
          <w:sz w:val="32"/>
          <w:szCs w:val="40"/>
        </w:rPr>
      </w:pPr>
      <w:r>
        <w:rPr>
          <w:rFonts w:hint="eastAsia" w:ascii="黑体" w:hAnsi="黑体" w:eastAsia="黑体" w:cs="黑体"/>
          <w:b/>
          <w:bCs/>
          <w:sz w:val="32"/>
          <w:szCs w:val="40"/>
        </w:rPr>
        <w:t>二、研究的基本过程</w:t>
      </w:r>
    </w:p>
    <w:p w14:paraId="0D7DDF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32"/>
          <w:lang w:eastAsia="zh-CN"/>
        </w:rPr>
      </w:pPr>
      <w:r>
        <w:rPr>
          <w:rFonts w:hint="eastAsia"/>
          <w:b w:val="0"/>
          <w:bCs w:val="0"/>
          <w:sz w:val="24"/>
          <w:szCs w:val="32"/>
          <w:lang w:eastAsia="zh-CN"/>
        </w:rPr>
        <w:t>本研究聚焦深度学习导向下小学数学学习任务的设计与实施，遵循教育研究的科学逻辑，分阶段推进，构建理论与实践互促的研究路径，系统探索小学数学教学质量提升的创新机制，具体研究历程如下：</w:t>
      </w:r>
    </w:p>
    <w:p w14:paraId="59A8EC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bCs/>
          <w:sz w:val="24"/>
          <w:szCs w:val="32"/>
          <w:lang w:eastAsia="zh-CN"/>
        </w:rPr>
      </w:pPr>
      <w:r>
        <w:drawing>
          <wp:anchor distT="0" distB="0" distL="114300" distR="114300" simplePos="0" relativeHeight="251659264" behindDoc="0" locked="0" layoutInCell="1" allowOverlap="1">
            <wp:simplePos x="0" y="0"/>
            <wp:positionH relativeFrom="column">
              <wp:posOffset>-13335</wp:posOffset>
            </wp:positionH>
            <wp:positionV relativeFrom="paragraph">
              <wp:posOffset>71755</wp:posOffset>
            </wp:positionV>
            <wp:extent cx="6121400" cy="295719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l="-114" t="6448"/>
                    <a:stretch>
                      <a:fillRect/>
                    </a:stretch>
                  </pic:blipFill>
                  <pic:spPr>
                    <a:xfrm>
                      <a:off x="0" y="0"/>
                      <a:ext cx="6121400" cy="2957195"/>
                    </a:xfrm>
                    <a:prstGeom prst="rect">
                      <a:avLst/>
                    </a:prstGeom>
                    <a:noFill/>
                    <a:ln>
                      <a:noFill/>
                    </a:ln>
                  </pic:spPr>
                </pic:pic>
              </a:graphicData>
            </a:graphic>
          </wp:anchor>
        </w:drawing>
      </w:r>
      <w:r>
        <w:rPr>
          <w:rFonts w:hint="eastAsia"/>
          <w:b/>
          <w:bCs/>
          <w:sz w:val="24"/>
          <w:szCs w:val="32"/>
          <w:lang w:eastAsia="zh-CN"/>
        </w:rPr>
        <w:t>（</w:t>
      </w:r>
      <w:r>
        <w:rPr>
          <w:rFonts w:hint="eastAsia"/>
          <w:b/>
          <w:bCs/>
          <w:sz w:val="24"/>
          <w:szCs w:val="32"/>
          <w:lang w:val="en-US" w:eastAsia="zh-CN"/>
        </w:rPr>
        <w:t>一</w:t>
      </w:r>
      <w:r>
        <w:rPr>
          <w:rFonts w:hint="eastAsia"/>
          <w:b/>
          <w:bCs/>
          <w:sz w:val="24"/>
          <w:szCs w:val="32"/>
          <w:lang w:eastAsia="zh-CN"/>
        </w:rPr>
        <w:t>）</w:t>
      </w:r>
      <w:r>
        <w:rPr>
          <w:rFonts w:hint="eastAsia"/>
          <w:b/>
          <w:bCs/>
          <w:sz w:val="24"/>
          <w:szCs w:val="32"/>
          <w:lang w:val="en-US" w:eastAsia="zh-CN"/>
        </w:rPr>
        <w:t>启动课题</w:t>
      </w:r>
      <w:r>
        <w:rPr>
          <w:rFonts w:hint="eastAsia"/>
          <w:b/>
          <w:bCs/>
          <w:sz w:val="24"/>
          <w:szCs w:val="32"/>
          <w:lang w:eastAsia="zh-CN"/>
        </w:rPr>
        <w:t>（2023.09-2023.11）：锚定问题，明晰研究靶向</w:t>
      </w:r>
    </w:p>
    <w:p w14:paraId="29DA59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32"/>
          <w:lang w:eastAsia="zh-CN"/>
        </w:rPr>
      </w:pPr>
      <w:r>
        <w:rPr>
          <w:rFonts w:hint="eastAsia"/>
          <w:b w:val="0"/>
          <w:bCs w:val="0"/>
          <w:sz w:val="24"/>
          <w:szCs w:val="32"/>
          <w:lang w:eastAsia="zh-CN"/>
        </w:rPr>
        <w:t>在教育教学改革持续深化背景下，小学数学教学对学习任务的科学性、有效性需求日益凸显。本阶段以教育诊断为核心目标，综合运用访谈法（对数学教师开展半结构化访谈，挖掘教学实践中学习任务设计的困境与经验）与调查法，系统开展三项关键工作：</w:t>
      </w:r>
    </w:p>
    <w:p w14:paraId="077ADA5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val="0"/>
          <w:bCs w:val="0"/>
          <w:sz w:val="24"/>
          <w:szCs w:val="32"/>
          <w:lang w:eastAsia="zh-CN"/>
        </w:rPr>
      </w:pPr>
      <w:r>
        <w:rPr>
          <w:rFonts w:hint="eastAsia"/>
          <w:b/>
          <w:bCs/>
          <w:sz w:val="24"/>
          <w:szCs w:val="32"/>
          <w:lang w:eastAsia="zh-CN"/>
        </w:rPr>
        <w:t>教改回溯：</w:t>
      </w:r>
      <w:r>
        <w:rPr>
          <w:rFonts w:hint="eastAsia"/>
          <w:b w:val="0"/>
          <w:bCs w:val="0"/>
          <w:sz w:val="24"/>
          <w:szCs w:val="32"/>
          <w:lang w:eastAsia="zh-CN"/>
        </w:rPr>
        <w:t>梳理近</w:t>
      </w:r>
      <w:r>
        <w:rPr>
          <w:rFonts w:hint="eastAsia"/>
          <w:b w:val="0"/>
          <w:bCs w:val="0"/>
          <w:sz w:val="24"/>
          <w:szCs w:val="32"/>
          <w:lang w:val="en-US" w:eastAsia="zh-CN"/>
        </w:rPr>
        <w:t>三</w:t>
      </w:r>
      <w:r>
        <w:rPr>
          <w:rFonts w:hint="eastAsia"/>
          <w:b w:val="0"/>
          <w:bCs w:val="0"/>
          <w:sz w:val="24"/>
          <w:szCs w:val="32"/>
          <w:lang w:eastAsia="zh-CN"/>
        </w:rPr>
        <w:t>年小学数学教学改革中“学习任务”相关实践，分析任务设计从知识传递导向到素养发展导向的演进脉络，总结传统任务设计存在的“目标模糊化、形式单一化、关联碎片化”等问题。</w:t>
      </w:r>
    </w:p>
    <w:p w14:paraId="747FAB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val="0"/>
          <w:bCs w:val="0"/>
          <w:sz w:val="24"/>
          <w:szCs w:val="32"/>
          <w:lang w:eastAsia="zh-CN"/>
        </w:rPr>
      </w:pPr>
      <w:r>
        <w:rPr>
          <w:rFonts w:hint="eastAsia"/>
          <w:b/>
          <w:bCs/>
          <w:sz w:val="24"/>
          <w:szCs w:val="32"/>
          <w:lang w:val="en-US" w:eastAsia="zh-CN"/>
        </w:rPr>
        <w:t>学习</w:t>
      </w:r>
      <w:r>
        <w:rPr>
          <w:rFonts w:hint="eastAsia"/>
          <w:b/>
          <w:bCs/>
          <w:sz w:val="24"/>
          <w:szCs w:val="32"/>
          <w:lang w:eastAsia="zh-CN"/>
        </w:rPr>
        <w:t>任务调研：</w:t>
      </w:r>
      <w:r>
        <w:rPr>
          <w:rFonts w:hint="eastAsia"/>
          <w:b w:val="0"/>
          <w:bCs w:val="0"/>
          <w:sz w:val="24"/>
          <w:szCs w:val="32"/>
          <w:lang w:eastAsia="zh-CN"/>
        </w:rPr>
        <w:t>对现行小学数学教材、校本化学习任务资源进行文本分析，结合课堂观察，解构学习任务的目标定位、内容组织、实施路径，发现任务与深度学习关联不足、任务序列缺乏进阶性等现实问题。</w:t>
      </w:r>
    </w:p>
    <w:p w14:paraId="05E9F3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val="0"/>
          <w:bCs w:val="0"/>
          <w:sz w:val="24"/>
          <w:szCs w:val="32"/>
          <w:lang w:eastAsia="zh-CN"/>
        </w:rPr>
      </w:pPr>
      <w:r>
        <w:rPr>
          <w:rFonts w:hint="eastAsia"/>
          <w:b/>
          <w:bCs/>
          <w:sz w:val="24"/>
          <w:szCs w:val="32"/>
          <w:lang w:eastAsia="zh-CN"/>
        </w:rPr>
        <w:t>师生访谈：</w:t>
      </w:r>
      <w:r>
        <w:rPr>
          <w:rFonts w:hint="eastAsia"/>
          <w:b w:val="0"/>
          <w:bCs w:val="0"/>
          <w:sz w:val="24"/>
          <w:szCs w:val="32"/>
          <w:lang w:eastAsia="zh-CN"/>
        </w:rPr>
        <w:t>从教与学双视角，挖掘教师对“深度学习任务设计”的认知偏差（如将“复杂任务”等同于“深度学习任务”），捕捉学生在任务参与中“被动执行多、主动探究少”“知识应用迁移困难”等真实诉求。</w:t>
      </w:r>
    </w:p>
    <w:p w14:paraId="77E62B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sz w:val="24"/>
          <w:szCs w:val="32"/>
          <w:lang w:eastAsia="zh-CN"/>
        </w:rPr>
      </w:pPr>
      <w:r>
        <w:rPr>
          <w:rFonts w:hint="eastAsia"/>
          <w:b w:val="0"/>
          <w:bCs w:val="0"/>
          <w:sz w:val="24"/>
          <w:szCs w:val="32"/>
          <w:lang w:eastAsia="zh-CN"/>
        </w:rPr>
        <w:t>通过</w:t>
      </w:r>
      <w:r>
        <w:rPr>
          <w:rFonts w:hint="eastAsia"/>
          <w:b w:val="0"/>
          <w:bCs w:val="0"/>
          <w:sz w:val="24"/>
          <w:szCs w:val="32"/>
          <w:lang w:val="en-US" w:eastAsia="zh-CN"/>
        </w:rPr>
        <w:t>前期调研，明晰</w:t>
      </w:r>
      <w:r>
        <w:rPr>
          <w:rFonts w:hint="eastAsia"/>
          <w:b w:val="0"/>
          <w:bCs w:val="0"/>
          <w:sz w:val="24"/>
          <w:szCs w:val="32"/>
          <w:lang w:eastAsia="zh-CN"/>
        </w:rPr>
        <w:t>“深度学习导向下小学数学学习任务的设计逻辑不清、实施路径不明”核心问题，明确以“构建适配小学数学深度学习的任务体系，优化教学实践”为研究方向，为后续学理探寻与实践突破筑牢基石</w:t>
      </w:r>
      <w:r>
        <w:rPr>
          <w:rFonts w:hint="eastAsia"/>
          <w:b/>
          <w:bCs/>
          <w:sz w:val="24"/>
          <w:szCs w:val="32"/>
          <w:lang w:eastAsia="zh-CN"/>
        </w:rPr>
        <w:t>。</w:t>
      </w:r>
    </w:p>
    <w:p w14:paraId="5A299A4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32"/>
          <w:lang w:eastAsia="zh-CN"/>
        </w:rPr>
      </w:pPr>
      <w:r>
        <w:rPr>
          <w:rFonts w:hint="eastAsia"/>
          <w:b/>
          <w:bCs/>
          <w:sz w:val="24"/>
          <w:szCs w:val="32"/>
          <w:lang w:eastAsia="zh-CN"/>
        </w:rPr>
        <w:t>二、</w:t>
      </w:r>
      <w:r>
        <w:rPr>
          <w:rFonts w:hint="eastAsia"/>
          <w:b/>
          <w:bCs/>
          <w:sz w:val="24"/>
          <w:szCs w:val="32"/>
          <w:lang w:val="en-US" w:eastAsia="zh-CN"/>
        </w:rPr>
        <w:t>实施课题阶段</w:t>
      </w:r>
      <w:r>
        <w:rPr>
          <w:rFonts w:hint="eastAsia"/>
          <w:b/>
          <w:bCs/>
          <w:sz w:val="24"/>
          <w:szCs w:val="32"/>
          <w:lang w:eastAsia="zh-CN"/>
        </w:rPr>
        <w:t>（2023.11-202</w:t>
      </w:r>
      <w:r>
        <w:rPr>
          <w:rFonts w:hint="eastAsia"/>
          <w:b/>
          <w:bCs/>
          <w:sz w:val="24"/>
          <w:szCs w:val="32"/>
          <w:lang w:val="en-US" w:eastAsia="zh-CN"/>
        </w:rPr>
        <w:t>5</w:t>
      </w:r>
      <w:r>
        <w:rPr>
          <w:rFonts w:hint="eastAsia"/>
          <w:b/>
          <w:bCs/>
          <w:sz w:val="24"/>
          <w:szCs w:val="32"/>
          <w:lang w:eastAsia="zh-CN"/>
        </w:rPr>
        <w:t>.</w:t>
      </w:r>
      <w:r>
        <w:rPr>
          <w:rFonts w:hint="eastAsia"/>
          <w:b/>
          <w:bCs/>
          <w:sz w:val="24"/>
          <w:szCs w:val="32"/>
          <w:lang w:val="en-US" w:eastAsia="zh-CN"/>
        </w:rPr>
        <w:t>5</w:t>
      </w:r>
      <w:r>
        <w:rPr>
          <w:rFonts w:hint="eastAsia"/>
          <w:b/>
          <w:bCs/>
          <w:sz w:val="24"/>
          <w:szCs w:val="32"/>
          <w:lang w:eastAsia="zh-CN"/>
        </w:rPr>
        <w:t>）</w:t>
      </w:r>
    </w:p>
    <w:p w14:paraId="32E951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val="0"/>
          <w:bCs w:val="0"/>
          <w:sz w:val="24"/>
          <w:szCs w:val="32"/>
          <w:lang w:eastAsia="zh-CN"/>
        </w:rPr>
      </w:pPr>
      <w:r>
        <w:rPr>
          <w:rFonts w:hint="eastAsia"/>
          <w:b/>
          <w:bCs/>
          <w:sz w:val="24"/>
          <w:szCs w:val="32"/>
          <w:lang w:eastAsia="zh-CN"/>
        </w:rPr>
        <w:t>（</w:t>
      </w:r>
      <w:r>
        <w:rPr>
          <w:rFonts w:hint="eastAsia"/>
          <w:b/>
          <w:bCs/>
          <w:sz w:val="24"/>
          <w:szCs w:val="32"/>
          <w:lang w:val="en-US" w:eastAsia="zh-CN"/>
        </w:rPr>
        <w:t>一</w:t>
      </w:r>
      <w:r>
        <w:rPr>
          <w:rFonts w:hint="eastAsia"/>
          <w:b/>
          <w:bCs/>
          <w:sz w:val="24"/>
          <w:szCs w:val="32"/>
          <w:lang w:eastAsia="zh-CN"/>
        </w:rPr>
        <w:t>）解码课标，具化理论实践。</w:t>
      </w:r>
      <w:r>
        <w:rPr>
          <w:rFonts w:hint="eastAsia"/>
          <w:b w:val="0"/>
          <w:bCs w:val="0"/>
          <w:sz w:val="24"/>
          <w:szCs w:val="32"/>
          <w:lang w:eastAsia="zh-CN"/>
        </w:rPr>
        <w:t>深度学习的落地需要学理支撑，本阶段聚焦理论与实践的衔接转化，运用文献研究法（检索国内外“深度学习”“学习任务设计”相关学术文献）与案例分析法，从三维度推进学理建构：</w:t>
      </w:r>
    </w:p>
    <w:p w14:paraId="04AFEF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32"/>
          <w:lang w:eastAsia="zh-CN"/>
        </w:rPr>
      </w:pPr>
      <w:r>
        <w:rPr>
          <w:rFonts w:hint="eastAsia"/>
          <w:b w:val="0"/>
          <w:bCs w:val="0"/>
          <w:sz w:val="24"/>
          <w:szCs w:val="32"/>
          <w:lang w:eastAsia="zh-CN"/>
        </w:rPr>
        <w:t>课标解析：深度研读《义务教育数学课程标准（2022年版）》，梳理“核心素养导向”下学习任务设计的底层要求，明确任务需承载“</w:t>
      </w:r>
      <w:r>
        <w:rPr>
          <w:rFonts w:hint="eastAsia" w:ascii="楷体" w:hAnsi="楷体" w:eastAsia="楷体" w:cs="楷体"/>
          <w:b/>
          <w:bCs/>
          <w:sz w:val="24"/>
          <w:szCs w:val="32"/>
          <w:lang w:eastAsia="zh-CN"/>
        </w:rPr>
        <w:t>知识结构化、思维可视化、素养可测化</w:t>
      </w:r>
      <w:r>
        <w:rPr>
          <w:rFonts w:hint="eastAsia"/>
          <w:b w:val="0"/>
          <w:bCs w:val="0"/>
          <w:sz w:val="24"/>
          <w:szCs w:val="32"/>
          <w:lang w:eastAsia="zh-CN"/>
        </w:rPr>
        <w:t>”功能，提炼“</w:t>
      </w:r>
      <w:r>
        <w:rPr>
          <w:rFonts w:hint="eastAsia" w:ascii="楷体" w:hAnsi="楷体" w:eastAsia="楷体" w:cs="楷体"/>
          <w:b/>
          <w:bCs/>
          <w:sz w:val="24"/>
          <w:szCs w:val="32"/>
          <w:lang w:eastAsia="zh-CN"/>
        </w:rPr>
        <w:t>情境性、探究性、进阶性、关联性</w:t>
      </w:r>
      <w:r>
        <w:rPr>
          <w:rFonts w:hint="eastAsia"/>
          <w:b w:val="0"/>
          <w:bCs w:val="0"/>
          <w:sz w:val="24"/>
          <w:szCs w:val="32"/>
          <w:lang w:eastAsia="zh-CN"/>
        </w:rPr>
        <w:t>”四大设计原则。</w:t>
      </w:r>
    </w:p>
    <w:p w14:paraId="77043F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32"/>
          <w:lang w:eastAsia="zh-CN"/>
        </w:rPr>
      </w:pPr>
      <w:r>
        <w:rPr>
          <w:rFonts w:hint="eastAsia"/>
          <w:b w:val="0"/>
          <w:bCs w:val="0"/>
          <w:sz w:val="24"/>
          <w:szCs w:val="32"/>
          <w:lang w:eastAsia="zh-CN"/>
        </w:rPr>
        <w:t>理论溯源：系统整合深度学习理论（如冯晓霞教授“深度学习五特征”）、任务设计理论（如加涅“学习结果分类理论”），构建“小学数学深度学习任务设计理论模型”，明晰任务设计需遵循“</w:t>
      </w:r>
      <w:r>
        <w:rPr>
          <w:rFonts w:hint="eastAsia" w:ascii="楷体" w:hAnsi="楷体" w:eastAsia="楷体" w:cs="楷体"/>
          <w:b/>
          <w:bCs/>
          <w:sz w:val="24"/>
          <w:szCs w:val="32"/>
          <w:lang w:eastAsia="zh-CN"/>
        </w:rPr>
        <w:t>激活前认知—搭建认知支架—推动认知冲突—实现认知迁移</w:t>
      </w:r>
      <w:r>
        <w:rPr>
          <w:rFonts w:hint="eastAsia"/>
          <w:b w:val="0"/>
          <w:bCs w:val="0"/>
          <w:sz w:val="24"/>
          <w:szCs w:val="32"/>
          <w:lang w:eastAsia="zh-CN"/>
        </w:rPr>
        <w:t>”的逻辑链条。</w:t>
      </w:r>
    </w:p>
    <w:p w14:paraId="7B3D00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32"/>
          <w:lang w:eastAsia="zh-CN"/>
        </w:rPr>
      </w:pPr>
      <w:r>
        <w:rPr>
          <w:rFonts w:hint="eastAsia"/>
          <w:b w:val="0"/>
          <w:bCs w:val="0"/>
          <w:sz w:val="24"/>
          <w:szCs w:val="32"/>
          <w:lang w:eastAsia="zh-CN"/>
        </w:rPr>
        <w:t>课例解构：对国内外优秀深度学习课例进行“</w:t>
      </w:r>
      <w:r>
        <w:rPr>
          <w:rFonts w:hint="eastAsia" w:ascii="楷体" w:hAnsi="楷体" w:eastAsia="楷体" w:cs="楷体"/>
          <w:b/>
          <w:bCs/>
          <w:sz w:val="24"/>
          <w:szCs w:val="32"/>
          <w:lang w:eastAsia="zh-CN"/>
        </w:rPr>
        <w:t>任务拆解—要素编码—规律提炼</w:t>
      </w:r>
      <w:r>
        <w:rPr>
          <w:rFonts w:hint="eastAsia"/>
          <w:b w:val="0"/>
          <w:bCs w:val="0"/>
          <w:sz w:val="24"/>
          <w:szCs w:val="32"/>
          <w:lang w:eastAsia="zh-CN"/>
        </w:rPr>
        <w:t>”，分析任务设计的学段适配性（如低段侧重“操作化任务”，高段强化“探究性任务”）、内容关联性（任务与知识单元、跨单元主题的整合方式），总结“问题链驱动”“项目化推进”等典型设计策略，形成可参照的任务设计步骤（如“</w:t>
      </w:r>
      <w:r>
        <w:rPr>
          <w:rFonts w:hint="eastAsia" w:ascii="楷体" w:hAnsi="楷体" w:eastAsia="楷体" w:cs="楷体"/>
          <w:b/>
          <w:bCs/>
          <w:sz w:val="24"/>
          <w:szCs w:val="32"/>
          <w:lang w:eastAsia="zh-CN"/>
        </w:rPr>
        <w:t>目标锚定—情境创设—活动序列—评价嵌入</w:t>
      </w:r>
      <w:r>
        <w:rPr>
          <w:rFonts w:hint="eastAsia"/>
          <w:b w:val="0"/>
          <w:bCs w:val="0"/>
          <w:sz w:val="24"/>
          <w:szCs w:val="32"/>
          <w:lang w:eastAsia="zh-CN"/>
        </w:rPr>
        <w:t>”）。</w:t>
      </w:r>
    </w:p>
    <w:p w14:paraId="29BE99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sz w:val="24"/>
          <w:szCs w:val="32"/>
          <w:lang w:eastAsia="zh-CN"/>
        </w:rPr>
      </w:pPr>
      <w:r>
        <w:rPr>
          <w:rFonts w:hint="eastAsia"/>
          <w:b w:val="0"/>
          <w:bCs w:val="0"/>
          <w:sz w:val="24"/>
          <w:szCs w:val="32"/>
          <w:lang w:eastAsia="zh-CN"/>
        </w:rPr>
        <w:t>通过学理层的系统解构，实现课标理念向教学实践的具象转化，为学习任务的创新设计提供理论依据与实践范式参考。</w:t>
      </w:r>
    </w:p>
    <w:p w14:paraId="70D2869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b/>
          <w:bCs/>
          <w:sz w:val="24"/>
          <w:szCs w:val="32"/>
          <w:lang w:eastAsia="zh-CN"/>
        </w:rPr>
      </w:pPr>
      <w:r>
        <w:rPr>
          <w:rFonts w:hint="eastAsia"/>
          <w:b/>
          <w:bCs/>
          <w:sz w:val="24"/>
          <w:szCs w:val="32"/>
          <w:lang w:eastAsia="zh-CN"/>
        </w:rPr>
        <w:t>行动迭代，构建任务体系</w:t>
      </w:r>
    </w:p>
    <w:p w14:paraId="56DAB5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32"/>
          <w:lang w:eastAsia="zh-CN"/>
        </w:rPr>
      </w:pPr>
      <w:r>
        <w:rPr>
          <w:rFonts w:hint="eastAsia"/>
          <w:b w:val="0"/>
          <w:bCs w:val="0"/>
          <w:sz w:val="24"/>
          <w:szCs w:val="32"/>
          <w:lang w:eastAsia="zh-CN"/>
        </w:rPr>
        <w:t>本阶段以行动研究法为依托，采用“计划—行动—观察—反思”螺旋迭代模式，联合</w:t>
      </w:r>
      <w:r>
        <w:rPr>
          <w:rFonts w:hint="eastAsia"/>
          <w:b w:val="0"/>
          <w:bCs w:val="0"/>
          <w:sz w:val="24"/>
          <w:szCs w:val="32"/>
          <w:lang w:val="en-US" w:eastAsia="zh-CN"/>
        </w:rPr>
        <w:t>新北区小学数学教学荆亚琴有教师培育室成员及所在学校教研组</w:t>
      </w:r>
      <w:r>
        <w:rPr>
          <w:rFonts w:hint="eastAsia"/>
          <w:b w:val="0"/>
          <w:bCs w:val="0"/>
          <w:sz w:val="24"/>
          <w:szCs w:val="32"/>
          <w:lang w:eastAsia="zh-CN"/>
        </w:rPr>
        <w:t>数学教师组建实践共同体，围绕“深度学习任务的课堂落地”开展持续探索：</w:t>
      </w:r>
    </w:p>
    <w:p w14:paraId="7FFB07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32"/>
          <w:lang w:eastAsia="zh-CN"/>
        </w:rPr>
      </w:pPr>
      <w:r>
        <w:rPr>
          <w:rFonts w:hint="eastAsia"/>
          <w:b/>
          <w:bCs/>
          <w:sz w:val="24"/>
          <w:szCs w:val="32"/>
          <w:lang w:val="en-US" w:eastAsia="zh-CN"/>
        </w:rPr>
        <w:t>1.</w:t>
      </w:r>
      <w:r>
        <w:rPr>
          <w:rFonts w:hint="eastAsia"/>
          <w:b/>
          <w:bCs/>
          <w:sz w:val="24"/>
          <w:szCs w:val="32"/>
          <w:lang w:eastAsia="zh-CN"/>
        </w:rPr>
        <w:t>任务分类构建：三维模型进阶</w:t>
      </w:r>
    </w:p>
    <w:p w14:paraId="58871F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32"/>
          <w:lang w:eastAsia="zh-CN"/>
        </w:rPr>
      </w:pPr>
      <w:r>
        <w:rPr>
          <w:rFonts w:hint="eastAsia"/>
          <w:b w:val="0"/>
          <w:bCs w:val="0"/>
          <w:sz w:val="24"/>
          <w:szCs w:val="32"/>
          <w:lang w:eastAsia="zh-CN"/>
        </w:rPr>
        <w:t>基于学理研究成果，结合小学数学知识体系与素养发展规律，聚焦“知识内化—应用迁移—创新拓展”三阶目标，构建三类学习任务模型：</w:t>
      </w:r>
    </w:p>
    <w:tbl>
      <w:tblPr>
        <w:tblStyle w:val="6"/>
        <w:tblW w:w="10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1590"/>
        <w:gridCol w:w="1848"/>
        <w:gridCol w:w="4200"/>
      </w:tblGrid>
      <w:tr w14:paraId="6486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shd w:val="clear" w:color="auto" w:fill="D7D7D7" w:themeFill="background1" w:themeFillShade="D8"/>
            <w:vAlign w:val="top"/>
          </w:tcPr>
          <w:p w14:paraId="1BD2FF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4"/>
                <w:szCs w:val="32"/>
                <w:vertAlign w:val="baseline"/>
                <w:lang w:val="en-US" w:eastAsia="zh-CN"/>
              </w:rPr>
            </w:pPr>
            <w:r>
              <w:rPr>
                <w:rFonts w:hint="eastAsia"/>
                <w:b/>
                <w:bCs/>
                <w:sz w:val="24"/>
                <w:szCs w:val="32"/>
                <w:vertAlign w:val="baseline"/>
                <w:lang w:val="en-US" w:eastAsia="zh-CN"/>
              </w:rPr>
              <w:t>学习任务设计类型</w:t>
            </w:r>
          </w:p>
        </w:tc>
        <w:tc>
          <w:tcPr>
            <w:tcW w:w="1590" w:type="dxa"/>
            <w:shd w:val="clear" w:color="auto" w:fill="D7D7D7" w:themeFill="background1" w:themeFillShade="D8"/>
            <w:vAlign w:val="top"/>
          </w:tcPr>
          <w:p w14:paraId="7CE883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4"/>
                <w:szCs w:val="32"/>
                <w:vertAlign w:val="baseline"/>
                <w:lang w:val="en-US" w:eastAsia="zh-CN"/>
              </w:rPr>
            </w:pPr>
            <w:r>
              <w:rPr>
                <w:rFonts w:hint="eastAsia"/>
                <w:b/>
                <w:bCs/>
                <w:sz w:val="24"/>
                <w:szCs w:val="32"/>
                <w:vertAlign w:val="baseline"/>
                <w:lang w:val="en-US" w:eastAsia="zh-CN"/>
              </w:rPr>
              <w:t>探究核心</w:t>
            </w:r>
          </w:p>
        </w:tc>
        <w:tc>
          <w:tcPr>
            <w:tcW w:w="1848" w:type="dxa"/>
            <w:shd w:val="clear" w:color="auto" w:fill="D7D7D7" w:themeFill="background1" w:themeFillShade="D8"/>
            <w:vAlign w:val="top"/>
          </w:tcPr>
          <w:p w14:paraId="410B36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4"/>
                <w:szCs w:val="32"/>
                <w:vertAlign w:val="baseline"/>
                <w:lang w:val="en-US" w:eastAsia="zh-CN"/>
              </w:rPr>
            </w:pPr>
            <w:r>
              <w:rPr>
                <w:rFonts w:hint="eastAsia"/>
                <w:b/>
                <w:bCs/>
                <w:sz w:val="24"/>
                <w:szCs w:val="32"/>
                <w:vertAlign w:val="baseline"/>
                <w:lang w:val="en-US" w:eastAsia="zh-CN"/>
              </w:rPr>
              <w:t>遵循逻辑</w:t>
            </w:r>
          </w:p>
        </w:tc>
        <w:tc>
          <w:tcPr>
            <w:tcW w:w="4200" w:type="dxa"/>
            <w:shd w:val="clear" w:color="auto" w:fill="D7D7D7" w:themeFill="background1" w:themeFillShade="D8"/>
            <w:vAlign w:val="top"/>
          </w:tcPr>
          <w:p w14:paraId="0FF27F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4"/>
                <w:szCs w:val="32"/>
                <w:vertAlign w:val="baseline"/>
                <w:lang w:val="en-US" w:eastAsia="zh-CN"/>
              </w:rPr>
            </w:pPr>
            <w:r>
              <w:rPr>
                <w:rFonts w:hint="eastAsia"/>
                <w:b/>
                <w:bCs/>
                <w:sz w:val="24"/>
                <w:szCs w:val="32"/>
                <w:vertAlign w:val="baseline"/>
                <w:lang w:val="en-US" w:eastAsia="zh-CN"/>
              </w:rPr>
              <w:t>举例</w:t>
            </w:r>
          </w:p>
        </w:tc>
      </w:tr>
      <w:tr w14:paraId="0A47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vAlign w:val="center"/>
          </w:tcPr>
          <w:p w14:paraId="79C496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32"/>
                <w:vertAlign w:val="baseline"/>
                <w:lang w:eastAsia="zh-CN"/>
              </w:rPr>
            </w:pPr>
            <w:r>
              <w:rPr>
                <w:rFonts w:hint="eastAsia"/>
                <w:b w:val="0"/>
                <w:bCs w:val="0"/>
                <w:sz w:val="24"/>
                <w:szCs w:val="32"/>
                <w:lang w:eastAsia="zh-CN"/>
              </w:rPr>
              <w:t>知识探究型任务</w:t>
            </w:r>
          </w:p>
        </w:tc>
        <w:tc>
          <w:tcPr>
            <w:tcW w:w="1590" w:type="dxa"/>
            <w:vAlign w:val="center"/>
          </w:tcPr>
          <w:p w14:paraId="610AC4E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4"/>
                <w:szCs w:val="32"/>
                <w:vertAlign w:val="baseline"/>
                <w:lang w:eastAsia="zh-CN"/>
              </w:rPr>
            </w:pPr>
            <w:r>
              <w:rPr>
                <w:rFonts w:hint="eastAsia"/>
                <w:b w:val="0"/>
                <w:bCs w:val="0"/>
                <w:sz w:val="24"/>
                <w:szCs w:val="32"/>
                <w:lang w:eastAsia="zh-CN"/>
              </w:rPr>
              <w:t>数学原理、概念本质</w:t>
            </w:r>
          </w:p>
        </w:tc>
        <w:tc>
          <w:tcPr>
            <w:tcW w:w="1848" w:type="dxa"/>
            <w:vAlign w:val="center"/>
          </w:tcPr>
          <w:p w14:paraId="7AD25B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4"/>
                <w:szCs w:val="32"/>
                <w:vertAlign w:val="baseline"/>
                <w:lang w:eastAsia="zh-CN"/>
              </w:rPr>
            </w:pPr>
            <w:r>
              <w:rPr>
                <w:rFonts w:hint="eastAsia"/>
                <w:b w:val="0"/>
                <w:bCs w:val="0"/>
                <w:sz w:val="24"/>
                <w:szCs w:val="32"/>
                <w:lang w:eastAsia="zh-CN"/>
              </w:rPr>
              <w:t>猜想→验证→归纳→迁移</w:t>
            </w:r>
          </w:p>
        </w:tc>
        <w:tc>
          <w:tcPr>
            <w:tcW w:w="4200" w:type="dxa"/>
            <w:vAlign w:val="center"/>
          </w:tcPr>
          <w:p w14:paraId="30B308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4"/>
                <w:szCs w:val="32"/>
                <w:vertAlign w:val="baseline"/>
                <w:lang w:eastAsia="zh-CN"/>
              </w:rPr>
            </w:pPr>
            <w:r>
              <w:rPr>
                <w:rFonts w:hint="eastAsia"/>
                <w:b w:val="0"/>
                <w:bCs w:val="0"/>
                <w:sz w:val="24"/>
                <w:szCs w:val="32"/>
                <w:lang w:eastAsia="zh-CN"/>
              </w:rPr>
              <w:t>在“三角形内角和”教学中，设计“猜想内角和规律—借助量角器、剪拼法验证—归纳通用结论—迁移探究四边形内角和”任务序列，推动学生经历“发现数学规律—掌握探究方法—实现知识迁移”的深度学习过程。</w:t>
            </w:r>
          </w:p>
        </w:tc>
      </w:tr>
      <w:tr w14:paraId="1068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vAlign w:val="center"/>
          </w:tcPr>
          <w:p w14:paraId="655E15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32"/>
                <w:lang w:eastAsia="zh-CN"/>
              </w:rPr>
            </w:pPr>
            <w:r>
              <w:rPr>
                <w:rFonts w:hint="eastAsia"/>
                <w:b w:val="0"/>
                <w:bCs w:val="0"/>
                <w:sz w:val="24"/>
                <w:szCs w:val="32"/>
                <w:lang w:eastAsia="zh-CN"/>
              </w:rPr>
              <w:t>生活应用型任务</w:t>
            </w:r>
          </w:p>
        </w:tc>
        <w:tc>
          <w:tcPr>
            <w:tcW w:w="1590" w:type="dxa"/>
            <w:vAlign w:val="center"/>
          </w:tcPr>
          <w:p w14:paraId="76169E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4"/>
                <w:szCs w:val="32"/>
                <w:lang w:eastAsia="zh-CN"/>
              </w:rPr>
            </w:pPr>
            <w:r>
              <w:rPr>
                <w:rFonts w:hint="eastAsia"/>
                <w:b w:val="0"/>
                <w:bCs w:val="0"/>
                <w:sz w:val="24"/>
                <w:szCs w:val="32"/>
                <w:lang w:eastAsia="zh-CN"/>
              </w:rPr>
              <w:t>数学与现实生活的关联</w:t>
            </w:r>
          </w:p>
        </w:tc>
        <w:tc>
          <w:tcPr>
            <w:tcW w:w="1848" w:type="dxa"/>
            <w:vAlign w:val="center"/>
          </w:tcPr>
          <w:p w14:paraId="5BCB7F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4"/>
                <w:szCs w:val="32"/>
                <w:lang w:eastAsia="zh-CN"/>
              </w:rPr>
            </w:pPr>
            <w:r>
              <w:rPr>
                <w:rFonts w:hint="eastAsia"/>
                <w:b w:val="0"/>
                <w:bCs w:val="0"/>
                <w:sz w:val="24"/>
                <w:szCs w:val="32"/>
                <w:lang w:eastAsia="zh-CN"/>
              </w:rPr>
              <w:t>情境→建模→求解→反思</w:t>
            </w:r>
          </w:p>
        </w:tc>
        <w:tc>
          <w:tcPr>
            <w:tcW w:w="4200" w:type="dxa"/>
            <w:vAlign w:val="center"/>
          </w:tcPr>
          <w:p w14:paraId="6888EA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4"/>
                <w:szCs w:val="32"/>
                <w:lang w:eastAsia="zh-CN"/>
              </w:rPr>
            </w:pPr>
            <w:r>
              <w:rPr>
                <w:rFonts w:hint="eastAsia"/>
                <w:b w:val="0"/>
                <w:bCs w:val="0"/>
                <w:sz w:val="24"/>
                <w:szCs w:val="32"/>
                <w:lang w:val="en-US" w:eastAsia="zh-CN"/>
              </w:rPr>
              <w:t>在</w:t>
            </w:r>
            <w:r>
              <w:rPr>
                <w:rFonts w:hint="eastAsia"/>
                <w:b w:val="0"/>
                <w:bCs w:val="0"/>
                <w:sz w:val="24"/>
                <w:szCs w:val="32"/>
                <w:lang w:eastAsia="zh-CN"/>
              </w:rPr>
              <w:t>“购物策略优化”</w:t>
            </w:r>
            <w:r>
              <w:rPr>
                <w:rFonts w:hint="eastAsia"/>
                <w:b w:val="0"/>
                <w:bCs w:val="0"/>
                <w:sz w:val="24"/>
                <w:szCs w:val="32"/>
                <w:lang w:val="en-US" w:eastAsia="zh-CN"/>
              </w:rPr>
              <w:t>教学中</w:t>
            </w:r>
            <w:r>
              <w:rPr>
                <w:rFonts w:hint="eastAsia"/>
                <w:b w:val="0"/>
                <w:bCs w:val="0"/>
                <w:sz w:val="24"/>
                <w:szCs w:val="32"/>
                <w:lang w:eastAsia="zh-CN"/>
              </w:rPr>
              <w:t>，创设“超市促销情境—抽象数学模型（单价、数量、优惠规则）—求解最优购物方案—反思策略普适性”，培养学生“用数学眼光观察现实、用数学思维解决问题”的能力。</w:t>
            </w:r>
          </w:p>
        </w:tc>
      </w:tr>
      <w:tr w14:paraId="1D2A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vAlign w:val="center"/>
          </w:tcPr>
          <w:p w14:paraId="22AEAA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32"/>
                <w:lang w:eastAsia="zh-CN"/>
              </w:rPr>
            </w:pPr>
            <w:r>
              <w:rPr>
                <w:rFonts w:hint="eastAsia"/>
                <w:b w:val="0"/>
                <w:bCs w:val="0"/>
                <w:sz w:val="24"/>
                <w:szCs w:val="32"/>
                <w:lang w:eastAsia="zh-CN"/>
              </w:rPr>
              <w:t>创新拓展型任务</w:t>
            </w:r>
          </w:p>
        </w:tc>
        <w:tc>
          <w:tcPr>
            <w:tcW w:w="1590" w:type="dxa"/>
            <w:vAlign w:val="center"/>
          </w:tcPr>
          <w:p w14:paraId="222812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4"/>
                <w:szCs w:val="32"/>
                <w:lang w:eastAsia="zh-CN"/>
              </w:rPr>
            </w:pPr>
            <w:r>
              <w:rPr>
                <w:rFonts w:hint="eastAsia"/>
                <w:b w:val="0"/>
                <w:bCs w:val="0"/>
                <w:sz w:val="24"/>
                <w:szCs w:val="32"/>
                <w:lang w:eastAsia="zh-CN"/>
              </w:rPr>
              <w:t>高阶思维与创新实践</w:t>
            </w:r>
          </w:p>
        </w:tc>
        <w:tc>
          <w:tcPr>
            <w:tcW w:w="1848" w:type="dxa"/>
            <w:vAlign w:val="center"/>
          </w:tcPr>
          <w:p w14:paraId="3F2952A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4"/>
                <w:szCs w:val="32"/>
                <w:lang w:eastAsia="zh-CN"/>
              </w:rPr>
            </w:pPr>
            <w:r>
              <w:rPr>
                <w:rFonts w:hint="eastAsia"/>
                <w:b w:val="0"/>
                <w:bCs w:val="0"/>
                <w:sz w:val="24"/>
                <w:szCs w:val="32"/>
                <w:lang w:eastAsia="zh-CN"/>
              </w:rPr>
              <w:t>质疑→发散→创造→分享</w:t>
            </w:r>
          </w:p>
        </w:tc>
        <w:tc>
          <w:tcPr>
            <w:tcW w:w="4200" w:type="dxa"/>
            <w:vAlign w:val="center"/>
          </w:tcPr>
          <w:p w14:paraId="7197A8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4"/>
                <w:szCs w:val="32"/>
                <w:lang w:eastAsia="zh-CN"/>
              </w:rPr>
            </w:pPr>
            <w:r>
              <w:rPr>
                <w:rFonts w:hint="eastAsia"/>
                <w:b w:val="0"/>
                <w:bCs w:val="0"/>
                <w:sz w:val="24"/>
                <w:szCs w:val="32"/>
                <w:lang w:eastAsia="zh-CN"/>
              </w:rPr>
              <w:t>以“图形创意设计”为例，引导学生“质疑常规图形组合方式—发散思维提出创意（如用三角形、圆形设计‘未来城市建筑’）—动手创作并阐述数学原理—班级分享互评”，激发创新意识与数学表达能力。</w:t>
            </w:r>
          </w:p>
        </w:tc>
      </w:tr>
    </w:tbl>
    <w:p w14:paraId="429422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32"/>
          <w:lang w:eastAsia="zh-CN"/>
        </w:rPr>
      </w:pPr>
    </w:p>
    <w:p w14:paraId="692CAE7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32"/>
          <w:lang w:eastAsia="zh-CN"/>
        </w:rPr>
      </w:pPr>
      <w:r>
        <w:rPr>
          <w:rFonts w:hint="eastAsia"/>
          <w:b/>
          <w:bCs/>
          <w:sz w:val="24"/>
          <w:szCs w:val="32"/>
          <w:lang w:val="en-US" w:eastAsia="zh-CN"/>
        </w:rPr>
        <w:t>2.</w:t>
      </w:r>
      <w:r>
        <w:rPr>
          <w:rFonts w:hint="eastAsia"/>
          <w:b/>
          <w:bCs/>
          <w:sz w:val="24"/>
          <w:szCs w:val="32"/>
          <w:lang w:eastAsia="zh-CN"/>
        </w:rPr>
        <w:t>设计规范形成：要素协同优化</w:t>
      </w:r>
    </w:p>
    <w:p w14:paraId="10B8CD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32"/>
          <w:lang w:eastAsia="zh-CN"/>
        </w:rPr>
      </w:pPr>
      <w:r>
        <w:rPr>
          <w:rFonts w:hint="eastAsia"/>
          <w:b w:val="0"/>
          <w:bCs w:val="0"/>
          <w:sz w:val="24"/>
          <w:szCs w:val="32"/>
          <w:lang w:eastAsia="zh-CN"/>
        </w:rPr>
        <w:t>在实践中提炼学习任务设计的关键要素，形成“五维协同”</w:t>
      </w:r>
      <w:r>
        <w:rPr>
          <w:rFonts w:hint="eastAsia"/>
          <w:b w:val="0"/>
          <w:bCs w:val="0"/>
          <w:sz w:val="24"/>
          <w:szCs w:val="32"/>
          <w:lang w:val="en-US" w:eastAsia="zh-CN"/>
        </w:rPr>
        <w:t>任务</w:t>
      </w:r>
      <w:r>
        <w:rPr>
          <w:rFonts w:hint="eastAsia"/>
          <w:b w:val="0"/>
          <w:bCs w:val="0"/>
          <w:sz w:val="24"/>
          <w:szCs w:val="32"/>
          <w:lang w:eastAsia="zh-CN"/>
        </w:rPr>
        <w:t>设计规范：</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5581"/>
        <w:gridCol w:w="3219"/>
      </w:tblGrid>
      <w:tr w14:paraId="264F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Pr>
          <w:p w14:paraId="59ACBD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4"/>
                <w:szCs w:val="32"/>
                <w:vertAlign w:val="baseline"/>
                <w:lang w:val="en-US" w:eastAsia="zh-CN"/>
              </w:rPr>
            </w:pPr>
            <w:r>
              <w:rPr>
                <w:rFonts w:hint="eastAsia"/>
                <w:b/>
                <w:bCs/>
                <w:sz w:val="24"/>
                <w:szCs w:val="32"/>
                <w:vertAlign w:val="baseline"/>
                <w:lang w:val="en-US" w:eastAsia="zh-CN"/>
              </w:rPr>
              <w:t>要素</w:t>
            </w:r>
          </w:p>
        </w:tc>
        <w:tc>
          <w:tcPr>
            <w:tcW w:w="5581" w:type="dxa"/>
          </w:tcPr>
          <w:p w14:paraId="103464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4"/>
                <w:szCs w:val="32"/>
                <w:vertAlign w:val="baseline"/>
                <w:lang w:val="en-US" w:eastAsia="zh-CN"/>
              </w:rPr>
            </w:pPr>
            <w:r>
              <w:rPr>
                <w:rFonts w:hint="eastAsia"/>
                <w:b/>
                <w:bCs/>
                <w:sz w:val="24"/>
                <w:szCs w:val="32"/>
                <w:vertAlign w:val="baseline"/>
                <w:lang w:val="en-US" w:eastAsia="zh-CN"/>
              </w:rPr>
              <w:t>具体要求</w:t>
            </w:r>
          </w:p>
        </w:tc>
        <w:tc>
          <w:tcPr>
            <w:tcW w:w="3219" w:type="dxa"/>
          </w:tcPr>
          <w:p w14:paraId="6FABBE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4"/>
                <w:szCs w:val="32"/>
                <w:vertAlign w:val="baseline"/>
                <w:lang w:val="en-US" w:eastAsia="zh-CN"/>
              </w:rPr>
            </w:pPr>
            <w:r>
              <w:rPr>
                <w:rFonts w:hint="eastAsia"/>
                <w:b/>
                <w:bCs/>
                <w:sz w:val="24"/>
                <w:szCs w:val="32"/>
                <w:vertAlign w:val="baseline"/>
                <w:lang w:val="en-US" w:eastAsia="zh-CN"/>
              </w:rPr>
              <w:t>目标</w:t>
            </w:r>
          </w:p>
        </w:tc>
      </w:tr>
      <w:tr w14:paraId="1E3E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vAlign w:val="center"/>
          </w:tcPr>
          <w:p w14:paraId="1FBA28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32"/>
                <w:vertAlign w:val="baseline"/>
                <w:lang w:eastAsia="zh-CN"/>
              </w:rPr>
            </w:pPr>
            <w:r>
              <w:rPr>
                <w:rFonts w:hint="eastAsia"/>
                <w:b w:val="0"/>
                <w:bCs w:val="0"/>
                <w:sz w:val="24"/>
                <w:szCs w:val="32"/>
                <w:lang w:eastAsia="zh-CN"/>
              </w:rPr>
              <w:t>目标锚定</w:t>
            </w:r>
          </w:p>
        </w:tc>
        <w:tc>
          <w:tcPr>
            <w:tcW w:w="5581" w:type="dxa"/>
            <w:vAlign w:val="center"/>
          </w:tcPr>
          <w:p w14:paraId="0A2DE98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4"/>
                <w:szCs w:val="32"/>
                <w:vertAlign w:val="baseline"/>
                <w:lang w:eastAsia="zh-CN"/>
              </w:rPr>
            </w:pPr>
            <w:r>
              <w:rPr>
                <w:rFonts w:hint="eastAsia"/>
                <w:b w:val="0"/>
                <w:bCs w:val="0"/>
                <w:sz w:val="24"/>
                <w:szCs w:val="32"/>
                <w:lang w:eastAsia="zh-CN"/>
              </w:rPr>
              <w:t>以核心素养为纲，分解学段、单元、课时目标，明确任务承载的“知识与技能、过程与方法、情感态度与价值观”三维要求</w:t>
            </w:r>
          </w:p>
        </w:tc>
        <w:tc>
          <w:tcPr>
            <w:tcW w:w="3219" w:type="dxa"/>
            <w:vAlign w:val="center"/>
          </w:tcPr>
          <w:p w14:paraId="005835C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4"/>
                <w:szCs w:val="32"/>
                <w:vertAlign w:val="baseline"/>
                <w:lang w:eastAsia="zh-CN"/>
              </w:rPr>
            </w:pPr>
            <w:r>
              <w:rPr>
                <w:rFonts w:hint="eastAsia"/>
                <w:b w:val="0"/>
                <w:bCs w:val="0"/>
                <w:sz w:val="24"/>
                <w:szCs w:val="32"/>
                <w:lang w:eastAsia="zh-CN"/>
              </w:rPr>
              <w:t>确保任务与育人目标精准契合</w:t>
            </w:r>
          </w:p>
        </w:tc>
      </w:tr>
      <w:tr w14:paraId="0CDF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vAlign w:val="center"/>
          </w:tcPr>
          <w:p w14:paraId="4B2411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32"/>
                <w:vertAlign w:val="baseline"/>
                <w:lang w:eastAsia="zh-CN"/>
              </w:rPr>
            </w:pPr>
            <w:r>
              <w:rPr>
                <w:rFonts w:hint="eastAsia"/>
                <w:b w:val="0"/>
                <w:bCs w:val="0"/>
                <w:sz w:val="24"/>
                <w:szCs w:val="32"/>
                <w:lang w:eastAsia="zh-CN"/>
              </w:rPr>
              <w:t>情境创设</w:t>
            </w:r>
          </w:p>
        </w:tc>
        <w:tc>
          <w:tcPr>
            <w:tcW w:w="5581" w:type="dxa"/>
            <w:vAlign w:val="center"/>
          </w:tcPr>
          <w:p w14:paraId="25009F6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4"/>
                <w:szCs w:val="32"/>
                <w:vertAlign w:val="baseline"/>
                <w:lang w:eastAsia="zh-CN"/>
              </w:rPr>
            </w:pPr>
            <w:r>
              <w:rPr>
                <w:rFonts w:hint="eastAsia"/>
                <w:b w:val="0"/>
                <w:bCs w:val="0"/>
                <w:sz w:val="24"/>
                <w:szCs w:val="32"/>
                <w:lang w:eastAsia="zh-CN"/>
              </w:rPr>
              <w:t>区分“生活情境、数学情境、科学情境”，遵循“真实性、趣味性、挑战性”原则，如将数学知识与生活情境融合。</w:t>
            </w:r>
          </w:p>
        </w:tc>
        <w:tc>
          <w:tcPr>
            <w:tcW w:w="3219" w:type="dxa"/>
            <w:vAlign w:val="center"/>
          </w:tcPr>
          <w:p w14:paraId="5EE25A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4"/>
                <w:szCs w:val="32"/>
                <w:vertAlign w:val="baseline"/>
                <w:lang w:eastAsia="zh-CN"/>
              </w:rPr>
            </w:pPr>
            <w:r>
              <w:rPr>
                <w:rFonts w:hint="eastAsia"/>
                <w:b w:val="0"/>
                <w:bCs w:val="0"/>
                <w:sz w:val="24"/>
                <w:szCs w:val="32"/>
                <w:lang w:eastAsia="zh-CN"/>
              </w:rPr>
              <w:t>增强任务吸引力、</w:t>
            </w:r>
            <w:r>
              <w:rPr>
                <w:rFonts w:hint="eastAsia"/>
                <w:b w:val="0"/>
                <w:bCs w:val="0"/>
                <w:sz w:val="24"/>
                <w:szCs w:val="32"/>
                <w:lang w:val="en-US" w:eastAsia="zh-CN"/>
              </w:rPr>
              <w:t>发展学生应用意识，提升学生学习数学的</w:t>
            </w:r>
            <w:r>
              <w:rPr>
                <w:rFonts w:hint="eastAsia"/>
                <w:b w:val="0"/>
                <w:bCs w:val="0"/>
                <w:sz w:val="24"/>
                <w:szCs w:val="32"/>
                <w:lang w:eastAsia="zh-CN"/>
              </w:rPr>
              <w:t>现实意义</w:t>
            </w:r>
          </w:p>
        </w:tc>
      </w:tr>
      <w:tr w14:paraId="02EF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vAlign w:val="center"/>
          </w:tcPr>
          <w:p w14:paraId="6EBA8A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32"/>
                <w:lang w:eastAsia="zh-CN"/>
              </w:rPr>
            </w:pPr>
            <w:r>
              <w:rPr>
                <w:rFonts w:hint="eastAsia"/>
                <w:b w:val="0"/>
                <w:bCs w:val="0"/>
                <w:sz w:val="24"/>
                <w:szCs w:val="32"/>
                <w:lang w:eastAsia="zh-CN"/>
              </w:rPr>
              <w:t>活动序列</w:t>
            </w:r>
          </w:p>
        </w:tc>
        <w:tc>
          <w:tcPr>
            <w:tcW w:w="5581" w:type="dxa"/>
            <w:vAlign w:val="center"/>
          </w:tcPr>
          <w:p w14:paraId="6301152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4"/>
                <w:szCs w:val="32"/>
                <w:lang w:eastAsia="zh-CN"/>
              </w:rPr>
            </w:pPr>
            <w:r>
              <w:rPr>
                <w:rFonts w:hint="eastAsia"/>
                <w:b w:val="0"/>
                <w:bCs w:val="0"/>
                <w:sz w:val="24"/>
                <w:szCs w:val="32"/>
                <w:lang w:eastAsia="zh-CN"/>
              </w:rPr>
              <w:t>设计“阶梯式”任务活动，搭建“认知脚手架”（如低阶任务侧重知识理解，中阶任务强化方法应用，高阶任务聚焦创新拓展）</w:t>
            </w:r>
          </w:p>
        </w:tc>
        <w:tc>
          <w:tcPr>
            <w:tcW w:w="3219" w:type="dxa"/>
            <w:vAlign w:val="center"/>
          </w:tcPr>
          <w:p w14:paraId="6F01F8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b w:val="0"/>
                <w:bCs w:val="0"/>
                <w:sz w:val="24"/>
                <w:szCs w:val="32"/>
                <w:lang w:val="en-US" w:eastAsia="zh-CN"/>
              </w:rPr>
            </w:pPr>
            <w:r>
              <w:rPr>
                <w:rFonts w:hint="eastAsia"/>
                <w:b w:val="0"/>
                <w:bCs w:val="0"/>
                <w:sz w:val="24"/>
                <w:szCs w:val="32"/>
                <w:lang w:val="en-US" w:eastAsia="zh-CN"/>
              </w:rPr>
              <w:t>推动学生思维进阶</w:t>
            </w:r>
          </w:p>
        </w:tc>
      </w:tr>
      <w:tr w14:paraId="0958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vAlign w:val="center"/>
          </w:tcPr>
          <w:p w14:paraId="1357BB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32"/>
                <w:lang w:eastAsia="zh-CN"/>
              </w:rPr>
            </w:pPr>
            <w:r>
              <w:rPr>
                <w:rFonts w:hint="eastAsia"/>
                <w:b w:val="0"/>
                <w:bCs w:val="0"/>
                <w:sz w:val="24"/>
                <w:szCs w:val="32"/>
                <w:lang w:eastAsia="zh-CN"/>
              </w:rPr>
              <w:t>评价嵌入</w:t>
            </w:r>
          </w:p>
        </w:tc>
        <w:tc>
          <w:tcPr>
            <w:tcW w:w="5581" w:type="dxa"/>
            <w:vAlign w:val="center"/>
          </w:tcPr>
          <w:p w14:paraId="7DF40EC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4"/>
                <w:szCs w:val="32"/>
                <w:lang w:eastAsia="zh-CN"/>
              </w:rPr>
            </w:pPr>
            <w:r>
              <w:rPr>
                <w:rFonts w:hint="eastAsia"/>
                <w:b w:val="0"/>
                <w:bCs w:val="0"/>
                <w:sz w:val="24"/>
                <w:szCs w:val="32"/>
                <w:lang w:eastAsia="zh-CN"/>
              </w:rPr>
              <w:t>构建“过程性+结果性”评价体系，设计“任务评价量规”（涵盖参与度、思维深度、成果质量等维度）</w:t>
            </w:r>
          </w:p>
        </w:tc>
        <w:tc>
          <w:tcPr>
            <w:tcW w:w="3219" w:type="dxa"/>
            <w:vAlign w:val="center"/>
          </w:tcPr>
          <w:p w14:paraId="037AE4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4"/>
                <w:szCs w:val="32"/>
                <w:lang w:val="en-US" w:eastAsia="zh-CN"/>
              </w:rPr>
            </w:pPr>
            <w:r>
              <w:rPr>
                <w:rFonts w:hint="eastAsia"/>
                <w:b w:val="0"/>
                <w:bCs w:val="0"/>
                <w:sz w:val="24"/>
                <w:szCs w:val="32"/>
                <w:lang w:eastAsia="zh-CN"/>
              </w:rPr>
              <w:t>实现“教—学—评”一体化</w:t>
            </w:r>
          </w:p>
        </w:tc>
      </w:tr>
      <w:tr w14:paraId="2380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vAlign w:val="center"/>
          </w:tcPr>
          <w:p w14:paraId="100276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32"/>
                <w:lang w:eastAsia="zh-CN"/>
              </w:rPr>
            </w:pPr>
            <w:r>
              <w:rPr>
                <w:rFonts w:hint="eastAsia"/>
                <w:b w:val="0"/>
                <w:bCs w:val="0"/>
                <w:sz w:val="24"/>
                <w:szCs w:val="32"/>
                <w:lang w:eastAsia="zh-CN"/>
              </w:rPr>
              <w:t>资源适配</w:t>
            </w:r>
          </w:p>
        </w:tc>
        <w:tc>
          <w:tcPr>
            <w:tcW w:w="5581" w:type="dxa"/>
            <w:vAlign w:val="center"/>
          </w:tcPr>
          <w:p w14:paraId="5A2670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4"/>
                <w:szCs w:val="32"/>
                <w:lang w:eastAsia="zh-CN"/>
              </w:rPr>
            </w:pPr>
            <w:r>
              <w:rPr>
                <w:rFonts w:hint="eastAsia"/>
                <w:b w:val="0"/>
                <w:bCs w:val="0"/>
                <w:sz w:val="24"/>
                <w:szCs w:val="32"/>
                <w:lang w:eastAsia="zh-CN"/>
              </w:rPr>
              <w:t>整合教材资源、数字化工具（如几何画板、数学游戏APP）、实物学具，</w:t>
            </w:r>
          </w:p>
        </w:tc>
        <w:tc>
          <w:tcPr>
            <w:tcW w:w="3219" w:type="dxa"/>
            <w:vAlign w:val="center"/>
          </w:tcPr>
          <w:p w14:paraId="61735D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4"/>
                <w:szCs w:val="32"/>
                <w:lang w:eastAsia="zh-CN"/>
              </w:rPr>
            </w:pPr>
            <w:r>
              <w:rPr>
                <w:rFonts w:hint="eastAsia"/>
                <w:b w:val="0"/>
                <w:bCs w:val="0"/>
                <w:sz w:val="24"/>
                <w:szCs w:val="32"/>
                <w:lang w:eastAsia="zh-CN"/>
              </w:rPr>
              <w:t>为任务实施提供多元支撑，满足不同学习风格学生需求。</w:t>
            </w:r>
          </w:p>
        </w:tc>
      </w:tr>
    </w:tbl>
    <w:p w14:paraId="0DFEC21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eastAsia"/>
          <w:b/>
          <w:bCs/>
          <w:sz w:val="24"/>
          <w:szCs w:val="32"/>
          <w:lang w:val="en-US" w:eastAsia="zh-CN"/>
        </w:rPr>
      </w:pPr>
      <w:r>
        <w:rPr>
          <w:rFonts w:hint="eastAsia"/>
          <w:b/>
          <w:bCs/>
          <w:sz w:val="24"/>
          <w:szCs w:val="32"/>
          <w:lang w:val="en-US" w:eastAsia="zh-CN"/>
        </w:rPr>
        <w:t>节点事件的回顾</w:t>
      </w:r>
    </w:p>
    <w:p w14:paraId="19C3A2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32"/>
          <w:lang w:eastAsia="zh-CN"/>
        </w:rPr>
      </w:pPr>
      <w:r>
        <w:rPr>
          <w:rFonts w:hint="eastAsia"/>
          <w:b w:val="0"/>
          <w:bCs w:val="0"/>
          <w:sz w:val="24"/>
          <w:szCs w:val="32"/>
          <w:lang w:val="en-US" w:eastAsia="zh-CN"/>
        </w:rPr>
        <w:t>202年</w:t>
      </w:r>
      <w:r>
        <w:rPr>
          <w:rFonts w:hint="eastAsia"/>
          <w:b w:val="0"/>
          <w:bCs w:val="0"/>
          <w:sz w:val="24"/>
          <w:szCs w:val="32"/>
          <w:lang w:eastAsia="zh-CN"/>
        </w:rPr>
        <w:t>9月：课题正式启动，召开了首次</w:t>
      </w:r>
      <w:r>
        <w:rPr>
          <w:rFonts w:hint="eastAsia"/>
          <w:b w:val="0"/>
          <w:bCs w:val="0"/>
          <w:sz w:val="24"/>
          <w:szCs w:val="32"/>
          <w:lang w:val="en-US" w:eastAsia="zh-CN"/>
        </w:rPr>
        <w:t>课题</w:t>
      </w:r>
      <w:r>
        <w:rPr>
          <w:rFonts w:hint="eastAsia"/>
          <w:b w:val="0"/>
          <w:bCs w:val="0"/>
          <w:sz w:val="24"/>
          <w:szCs w:val="32"/>
          <w:lang w:eastAsia="zh-CN"/>
        </w:rPr>
        <w:t>研究团队会议，明确了研究目标和任务。</w:t>
      </w:r>
    </w:p>
    <w:p w14:paraId="25795A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32"/>
          <w:lang w:eastAsia="zh-CN"/>
        </w:rPr>
      </w:pPr>
      <w:r>
        <w:rPr>
          <w:rFonts w:hint="eastAsia"/>
          <w:b w:val="0"/>
          <w:bCs w:val="0"/>
          <w:sz w:val="24"/>
          <w:szCs w:val="32"/>
          <w:lang w:val="en-US" w:eastAsia="zh-CN"/>
        </w:rPr>
        <w:t>2023年</w:t>
      </w:r>
      <w:r>
        <w:rPr>
          <w:rFonts w:hint="eastAsia"/>
          <w:b w:val="0"/>
          <w:bCs w:val="0"/>
          <w:sz w:val="24"/>
          <w:szCs w:val="32"/>
          <w:lang w:eastAsia="zh-CN"/>
        </w:rPr>
        <w:t>10月：完成了课题研究方案的制定，并通过了专家的论证。</w:t>
      </w:r>
    </w:p>
    <w:p w14:paraId="26E156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32"/>
          <w:lang w:val="en-US" w:eastAsia="zh-CN"/>
        </w:rPr>
      </w:pPr>
      <w:r>
        <w:rPr>
          <w:rFonts w:hint="eastAsia"/>
          <w:b w:val="0"/>
          <w:bCs w:val="0"/>
          <w:sz w:val="24"/>
          <w:szCs w:val="32"/>
          <w:lang w:val="en-US" w:eastAsia="zh-CN"/>
        </w:rPr>
        <w:t>2023年12月：在国培班上，作《从学的角度重构教学》交流。</w:t>
      </w:r>
    </w:p>
    <w:p w14:paraId="25FE23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32"/>
          <w:lang w:val="en-US" w:eastAsia="zh-CN"/>
        </w:rPr>
      </w:pPr>
      <w:r>
        <w:rPr>
          <w:rFonts w:hint="eastAsia"/>
          <w:b w:val="0"/>
          <w:bCs w:val="0"/>
          <w:sz w:val="24"/>
          <w:szCs w:val="32"/>
          <w:lang w:eastAsia="zh-CN"/>
        </w:rPr>
        <w:t>2024年</w:t>
      </w:r>
      <w:r>
        <w:rPr>
          <w:rFonts w:hint="eastAsia"/>
          <w:b w:val="0"/>
          <w:bCs w:val="0"/>
          <w:sz w:val="24"/>
          <w:szCs w:val="32"/>
          <w:lang w:val="en-US" w:eastAsia="zh-CN"/>
        </w:rPr>
        <w:t>5</w:t>
      </w:r>
      <w:r>
        <w:rPr>
          <w:rFonts w:hint="eastAsia"/>
          <w:b w:val="0"/>
          <w:bCs w:val="0"/>
          <w:sz w:val="24"/>
          <w:szCs w:val="32"/>
          <w:lang w:eastAsia="zh-CN"/>
        </w:rPr>
        <w:t>月：在</w:t>
      </w:r>
      <w:r>
        <w:rPr>
          <w:rFonts w:hint="eastAsia"/>
          <w:b w:val="0"/>
          <w:bCs w:val="0"/>
          <w:sz w:val="24"/>
          <w:szCs w:val="32"/>
          <w:lang w:val="en-US" w:eastAsia="zh-CN"/>
        </w:rPr>
        <w:t>常州市学科教研活动中，作《“跨学科主题学习”活动路径的设计与实施》交流。</w:t>
      </w:r>
    </w:p>
    <w:p w14:paraId="5BFD94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val="0"/>
          <w:bCs w:val="0"/>
          <w:sz w:val="24"/>
          <w:szCs w:val="32"/>
          <w:lang w:val="en-US" w:eastAsia="zh-CN"/>
        </w:rPr>
      </w:pPr>
      <w:r>
        <w:rPr>
          <w:rFonts w:hint="eastAsia"/>
          <w:b w:val="0"/>
          <w:bCs w:val="0"/>
          <w:sz w:val="24"/>
          <w:szCs w:val="32"/>
          <w:lang w:val="en-US" w:eastAsia="zh-CN"/>
        </w:rPr>
        <w:t>2025年6月：在在常州市学科教研活动中，作</w:t>
      </w:r>
      <w:r>
        <w:rPr>
          <w:rFonts w:hint="default"/>
          <w:b w:val="0"/>
          <w:bCs w:val="0"/>
          <w:sz w:val="24"/>
          <w:szCs w:val="32"/>
          <w:lang w:val="en-US" w:eastAsia="zh-CN"/>
        </w:rPr>
        <w:t>《单元整体教学视角下数量关系教学的实践与审思》</w:t>
      </w:r>
      <w:r>
        <w:rPr>
          <w:rFonts w:hint="eastAsia"/>
          <w:b w:val="0"/>
          <w:bCs w:val="0"/>
          <w:sz w:val="24"/>
          <w:szCs w:val="32"/>
          <w:lang w:val="en-US" w:eastAsia="zh-CN"/>
        </w:rPr>
        <w:t>交流。</w:t>
      </w:r>
    </w:p>
    <w:p w14:paraId="08B162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32"/>
          <w:lang w:eastAsia="zh-CN"/>
        </w:rPr>
      </w:pPr>
      <w:r>
        <w:rPr>
          <w:rFonts w:hint="eastAsia"/>
          <w:b/>
          <w:bCs/>
          <w:sz w:val="24"/>
          <w:szCs w:val="32"/>
          <w:lang w:eastAsia="zh-CN"/>
        </w:rPr>
        <w:t>四、</w:t>
      </w:r>
      <w:r>
        <w:rPr>
          <w:rFonts w:hint="eastAsia"/>
          <w:b/>
          <w:bCs/>
          <w:sz w:val="24"/>
          <w:szCs w:val="32"/>
          <w:lang w:val="en-US" w:eastAsia="zh-CN"/>
        </w:rPr>
        <w:t>中期</w:t>
      </w:r>
      <w:r>
        <w:rPr>
          <w:rFonts w:hint="eastAsia"/>
          <w:b/>
          <w:bCs/>
          <w:sz w:val="24"/>
          <w:szCs w:val="32"/>
          <w:lang w:eastAsia="zh-CN"/>
        </w:rPr>
        <w:t>成果梳理：经验凝练，辐射推广应用（2025.5-2025.6）</w:t>
      </w:r>
    </w:p>
    <w:p w14:paraId="44E8E1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32"/>
          <w:lang w:eastAsia="zh-CN"/>
        </w:rPr>
      </w:pPr>
      <w:r>
        <w:rPr>
          <w:rFonts w:hint="eastAsia"/>
          <w:b w:val="0"/>
          <w:bCs w:val="0"/>
          <w:sz w:val="24"/>
          <w:szCs w:val="32"/>
          <w:lang w:eastAsia="zh-CN"/>
        </w:rPr>
        <w:t>本阶段以经验总结法为核心，系统梳理研究成果，实现“理论成果固化、实践经验辐射”：</w:t>
      </w:r>
    </w:p>
    <w:p w14:paraId="153285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32"/>
          <w:lang w:eastAsia="zh-CN"/>
        </w:rPr>
      </w:pPr>
      <w:r>
        <w:rPr>
          <w:rFonts w:hint="eastAsia"/>
          <w:b w:val="0"/>
          <w:bCs w:val="0"/>
          <w:sz w:val="24"/>
          <w:szCs w:val="32"/>
          <w:lang w:eastAsia="zh-CN"/>
        </w:rPr>
        <w:t>理论（案例）成果：提炼“深度学习导向下小学数学学习任务设计的理论框架”，汇编《小学数学深度学习任务设计典型案例集》，涵盖“数与代数、图形与几何、统计与概率、综合与实践”四大领域，每个案例包含“设计理念、实施过程、学生表现、反思改进”，为教师提供可复制的实践样本。</w:t>
      </w:r>
    </w:p>
    <w:p w14:paraId="39A327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32"/>
          <w:lang w:eastAsia="zh-CN"/>
        </w:rPr>
      </w:pPr>
      <w:r>
        <w:rPr>
          <w:rFonts w:hint="eastAsia"/>
          <w:b w:val="0"/>
          <w:bCs w:val="0"/>
          <w:sz w:val="24"/>
          <w:szCs w:val="32"/>
          <w:lang w:eastAsia="zh-CN"/>
        </w:rPr>
        <w:t>任务模型图谱：绘制可视化“学习任务模型图谱”，呈现三类任务的设计逻辑、实施流程、适配内容与素养指向，辅助教师快速定位任务设计要点，实现“按图索骥”式教学应用。</w:t>
      </w:r>
    </w:p>
    <w:p w14:paraId="4A6C8B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32"/>
          <w:lang w:eastAsia="zh-CN"/>
        </w:rPr>
      </w:pPr>
      <w:r>
        <w:rPr>
          <w:rFonts w:hint="eastAsia"/>
          <w:b w:val="0"/>
          <w:bCs w:val="0"/>
          <w:sz w:val="24"/>
          <w:szCs w:val="32"/>
          <w:lang w:eastAsia="zh-CN"/>
        </w:rPr>
        <w:t>教师教学智库：搭建“线上+线下”教师教学智库，整合研究过程中形成的“教学设计模板、评价量规、教学反思日志”等资源，配套开展专题培训、课例研讨、教学沙龙等活动，推动研究成果向区域教学实践的深度转化。</w:t>
      </w:r>
    </w:p>
    <w:p w14:paraId="12E7C4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32"/>
          <w:lang w:eastAsia="zh-CN"/>
        </w:rPr>
      </w:pPr>
      <w:r>
        <w:rPr>
          <w:rFonts w:hint="eastAsia"/>
          <w:b w:val="0"/>
          <w:bCs w:val="0"/>
          <w:sz w:val="24"/>
          <w:szCs w:val="32"/>
          <w:lang w:eastAsia="zh-CN"/>
        </w:rPr>
        <w:t>通过成果梳理与辐射推广，总结形成“‘学理探寻—实践迭代—成果反哺’三位一体”的小学数学深度学习任务研究路径，为同类教学研究与实践提供可借鉴的经验范式，助力小学数学教学质量系统性提升。</w:t>
      </w:r>
    </w:p>
    <w:p w14:paraId="089CB3AA">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黑体" w:hAnsi="黑体" w:eastAsia="黑体" w:cs="黑体"/>
          <w:b/>
          <w:bCs/>
          <w:sz w:val="32"/>
          <w:szCs w:val="40"/>
        </w:rPr>
      </w:pPr>
      <w:r>
        <w:rPr>
          <w:rFonts w:hint="eastAsia" w:ascii="黑体" w:hAnsi="黑体" w:eastAsia="黑体" w:cs="黑体"/>
          <w:b/>
          <w:bCs/>
          <w:sz w:val="32"/>
          <w:szCs w:val="40"/>
        </w:rPr>
        <w:t>三、研究内容的展开</w:t>
      </w:r>
    </w:p>
    <w:p w14:paraId="74A1009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rPr>
          <w:rFonts w:hint="eastAsia"/>
          <w:b/>
          <w:bCs/>
          <w:sz w:val="24"/>
          <w:szCs w:val="32"/>
        </w:rPr>
      </w:pPr>
      <w:r>
        <w:rPr>
          <w:rFonts w:hint="eastAsia"/>
          <w:b/>
          <w:bCs/>
          <w:sz w:val="24"/>
          <w:szCs w:val="32"/>
        </w:rPr>
        <w:t>深度学习与小学数学学习任务设计的文献研究</w:t>
      </w:r>
    </w:p>
    <w:p w14:paraId="47CE3070">
      <w:pPr>
        <w:ind w:firstLine="482" w:firstLineChars="200"/>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4"/>
          <w:szCs w:val="24"/>
          <w:lang w:val="en-US" w:eastAsia="zh-CN"/>
        </w:rPr>
        <w:t>1.</w:t>
      </w:r>
      <w:r>
        <w:rPr>
          <w:rFonts w:hint="eastAsia" w:asciiTheme="majorEastAsia" w:hAnsiTheme="majorEastAsia" w:eastAsiaTheme="majorEastAsia" w:cstheme="majorEastAsia"/>
          <w:b/>
          <w:bCs/>
          <w:sz w:val="24"/>
          <w:szCs w:val="24"/>
        </w:rPr>
        <w:t>文献查找</w:t>
      </w:r>
    </w:p>
    <w:tbl>
      <w:tblPr>
        <w:tblStyle w:val="6"/>
        <w:tblW w:w="8522"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2827"/>
        <w:gridCol w:w="2854"/>
        <w:gridCol w:w="2841"/>
      </w:tblGrid>
      <w:tr w14:paraId="7EB27CE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38" w:hRule="atLeast"/>
        </w:trPr>
        <w:tc>
          <w:tcPr>
            <w:tcW w:w="2827" w:type="dxa"/>
            <w:tcBorders>
              <w:tl2br w:val="nil"/>
              <w:tr2bl w:val="nil"/>
            </w:tcBorders>
            <w:vAlign w:val="center"/>
          </w:tcPr>
          <w:p w14:paraId="548F3B85">
            <w:pPr>
              <w:ind w:firstLine="560" w:firstLineChars="200"/>
              <w:jc w:val="center"/>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108585</wp:posOffset>
                      </wp:positionV>
                      <wp:extent cx="935355" cy="5041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35355" cy="504190"/>
                              </a:xfrm>
                              <a:prstGeom prst="rect">
                                <a:avLst/>
                              </a:prstGeom>
                              <a:noFill/>
                              <a:ln w="6350">
                                <a:noFill/>
                              </a:ln>
                              <a:effectLst/>
                            </wps:spPr>
                            <wps:txbx>
                              <w:txbxContent>
                                <w:p w14:paraId="7FE8FE04">
                                  <w:pPr>
                                    <w:keepNext w:val="0"/>
                                    <w:keepLines w:val="0"/>
                                    <w:pageBreakBefore w:val="0"/>
                                    <w:widowControl w:val="0"/>
                                    <w:kinsoku/>
                                    <w:wordWrap/>
                                    <w:overflowPunct/>
                                    <w:topLinePunct w:val="0"/>
                                    <w:bidi w:val="0"/>
                                    <w:adjustRightInd/>
                                    <w:snapToGrid/>
                                    <w:spacing w:line="360" w:lineRule="exact"/>
                                    <w:textAlignment w:val="auto"/>
                                    <w:rPr>
                                      <w:sz w:val="24"/>
                                      <w:szCs w:val="32"/>
                                    </w:rPr>
                                  </w:pPr>
                                  <w:r>
                                    <w:rPr>
                                      <w:rFonts w:hint="eastAsia"/>
                                      <w:sz w:val="24"/>
                                      <w:szCs w:val="32"/>
                                    </w:rPr>
                                    <w:t>研究对象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5pt;margin-top:8.55pt;height:39.7pt;width:73.65pt;z-index:251661312;mso-width-relative:page;mso-height-relative:page;" filled="f" stroked="f" coordsize="21600,21600" o:gfxdata="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P19dfaAAAACAEAAA8AAAAAAAAAAQAgAAAA&#10;IgAAAGRycy9kb3ducmV2LnhtbFBLAQIUABQAAAAIAIdO4kCKikezQgIAAHMEAAAOAAAAAAAAAAEA&#10;IAAAACkBAABkcnMvZTJvRG9jLnhtbFBLBQYAAAAABgAGAFkBAADdBQAAAAA=&#10;">
                      <v:fill on="f" focussize="0,0"/>
                      <v:stroke on="f" weight="0.5pt"/>
                      <v:imagedata o:title=""/>
                      <o:lock v:ext="edit" aspectratio="f"/>
                      <v:textbox>
                        <w:txbxContent>
                          <w:p w14:paraId="7FE8FE04">
                            <w:pPr>
                              <w:keepNext w:val="0"/>
                              <w:keepLines w:val="0"/>
                              <w:pageBreakBefore w:val="0"/>
                              <w:widowControl w:val="0"/>
                              <w:kinsoku/>
                              <w:wordWrap/>
                              <w:overflowPunct/>
                              <w:topLinePunct w:val="0"/>
                              <w:bidi w:val="0"/>
                              <w:adjustRightInd/>
                              <w:snapToGrid/>
                              <w:spacing w:line="360" w:lineRule="exact"/>
                              <w:textAlignment w:val="auto"/>
                              <w:rPr>
                                <w:sz w:val="24"/>
                                <w:szCs w:val="32"/>
                              </w:rPr>
                            </w:pPr>
                            <w:r>
                              <w:rPr>
                                <w:rFonts w:hint="eastAsia"/>
                                <w:sz w:val="24"/>
                                <w:szCs w:val="32"/>
                              </w:rPr>
                              <w:t>研究对象</w:t>
                            </w:r>
                          </w:p>
                        </w:txbxContent>
                      </v:textbox>
                    </v:shape>
                  </w:pict>
                </mc:Fallback>
              </mc:AlternateContent>
            </w:r>
            <w:r>
              <w:rPr>
                <w:rFonts w:asciiTheme="majorEastAsia" w:hAnsiTheme="majorEastAsia" w:eastAsiaTheme="majorEastAsia" w:cstheme="majorEastAsia"/>
                <w:sz w:val="28"/>
                <w:szCs w:val="28"/>
              </w:rPr>
              <mc:AlternateContent>
                <mc:Choice Requires="wps">
                  <w:drawing>
                    <wp:anchor distT="0" distB="0" distL="114300" distR="114300" simplePos="0" relativeHeight="251660288" behindDoc="0" locked="0" layoutInCell="1" allowOverlap="1">
                      <wp:simplePos x="0" y="0"/>
                      <wp:positionH relativeFrom="column">
                        <wp:posOffset>877570</wp:posOffset>
                      </wp:positionH>
                      <wp:positionV relativeFrom="paragraph">
                        <wp:posOffset>21590</wp:posOffset>
                      </wp:positionV>
                      <wp:extent cx="601980" cy="435610"/>
                      <wp:effectExtent l="0" t="0" r="0" b="0"/>
                      <wp:wrapNone/>
                      <wp:docPr id="2" name="文本框 2"/>
                      <wp:cNvGraphicFramePr/>
                      <a:graphic xmlns:a="http://schemas.openxmlformats.org/drawingml/2006/main">
                        <a:graphicData uri="http://schemas.microsoft.com/office/word/2010/wordprocessingShape">
                          <wps:wsp>
                            <wps:cNvSpPr txBox="1"/>
                            <wps:spPr>
                              <a:xfrm>
                                <a:off x="1570355" y="1811020"/>
                                <a:ext cx="601980" cy="435610"/>
                              </a:xfrm>
                              <a:prstGeom prst="rect">
                                <a:avLst/>
                              </a:prstGeom>
                              <a:noFill/>
                              <a:ln w="6350">
                                <a:noFill/>
                              </a:ln>
                              <a:effectLst/>
                            </wps:spPr>
                            <wps:txbx>
                              <w:txbxContent>
                                <w:p w14:paraId="2957DF4E">
                                  <w:pPr>
                                    <w:rPr>
                                      <w:sz w:val="24"/>
                                      <w:szCs w:val="32"/>
                                    </w:rPr>
                                  </w:pPr>
                                  <w:r>
                                    <w:rPr>
                                      <w:rFonts w:hint="eastAsia"/>
                                      <w:sz w:val="24"/>
                                      <w:szCs w:val="32"/>
                                    </w:rPr>
                                    <w:t>数据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1pt;margin-top:1.7pt;height:34.3pt;width:47.4pt;z-index:251660288;mso-width-relative:page;mso-height-relative:page;" filled="f" stroked="f" coordsize="21600,21600" o:gfxdata="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pDdtgAAAAIAQAADwAAAAAA&#10;AAABACAAAAAiAAAAZHJzL2Rvd25yZXYueG1sUEsBAhQAFAAAAAgAh07iQF8U2+pMAgAAfwQAAA4A&#10;AAAAAAAAAQAgAAAAJwEAAGRycy9lMm9Eb2MueG1sUEsFBgAAAAAGAAYAWQEAAOUFAAAAAA==&#10;">
                      <v:fill on="f" focussize="0,0"/>
                      <v:stroke on="f" weight="0.5pt"/>
                      <v:imagedata o:title=""/>
                      <o:lock v:ext="edit" aspectratio="f"/>
                      <v:textbox>
                        <w:txbxContent>
                          <w:p w14:paraId="2957DF4E">
                            <w:pPr>
                              <w:rPr>
                                <w:sz w:val="24"/>
                                <w:szCs w:val="32"/>
                              </w:rPr>
                            </w:pPr>
                            <w:r>
                              <w:rPr>
                                <w:rFonts w:hint="eastAsia"/>
                                <w:sz w:val="24"/>
                                <w:szCs w:val="32"/>
                              </w:rPr>
                              <w:t>数据</w:t>
                            </w:r>
                          </w:p>
                        </w:txbxContent>
                      </v:textbox>
                    </v:shape>
                  </w:pict>
                </mc:Fallback>
              </mc:AlternateContent>
            </w:r>
            <w:r>
              <w:rPr>
                <w:rFonts w:asciiTheme="majorEastAsia" w:hAnsiTheme="majorEastAsia" w:eastAsiaTheme="majorEastAsia" w:cstheme="majorEastAsia"/>
                <w:sz w:val="28"/>
                <w:szCs w:val="28"/>
              </w:rPr>
              <mc:AlternateContent>
                <mc:Choice Requires="wps">
                  <w:drawing>
                    <wp:anchor distT="0" distB="0" distL="114300" distR="114300" simplePos="0" relativeHeight="251662336" behindDoc="0" locked="0" layoutInCell="1" allowOverlap="1">
                      <wp:simplePos x="0" y="0"/>
                      <wp:positionH relativeFrom="column">
                        <wp:posOffset>-39370</wp:posOffset>
                      </wp:positionH>
                      <wp:positionV relativeFrom="paragraph">
                        <wp:posOffset>48260</wp:posOffset>
                      </wp:positionV>
                      <wp:extent cx="1748155" cy="337820"/>
                      <wp:effectExtent l="1270" t="6350" r="8890" b="10795"/>
                      <wp:wrapNone/>
                      <wp:docPr id="4" name="直接连接符 4"/>
                      <wp:cNvGraphicFramePr/>
                      <a:graphic xmlns:a="http://schemas.openxmlformats.org/drawingml/2006/main">
                        <a:graphicData uri="http://schemas.microsoft.com/office/word/2010/wordprocessingShape">
                          <wps:wsp>
                            <wps:cNvCnPr/>
                            <wps:spPr>
                              <a:xfrm flipH="1" flipV="1">
                                <a:off x="1103630" y="1563370"/>
                                <a:ext cx="1748155" cy="337820"/>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 y;margin-left:-3.1pt;margin-top:3.8pt;height:26.6pt;width:137.65pt;z-index:251662336;mso-width-relative:page;mso-height-relative:page;" filled="f" stroked="t" coordsize="21600,21600" o:gfxdata="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rbalbYAAAABwEAAA8AAAAAAAAAAQAgAAAAIgAAAGRycy9k&#10;b3ducmV2LnhtbFBLAQIUABQAAAAIAIdO4kDQeCY4AgIAAOUDAAAOAAAAAAAAAAEAIAAAACcBAABk&#10;cnMvZTJvRG9jLnhtbFBLBQYAAAAABgAGAFkBAACbBQAAAAA=&#10;">
                      <v:fill on="f" focussize="0,0"/>
                      <v:stroke weight="1pt" color="#000000" miterlimit="8" joinstyle="miter"/>
                      <v:imagedata o:title=""/>
                      <o:lock v:ext="edit" aspectratio="f"/>
                    </v:line>
                  </w:pict>
                </mc:Fallback>
              </mc:AlternateContent>
            </w:r>
          </w:p>
        </w:tc>
        <w:tc>
          <w:tcPr>
            <w:tcW w:w="2854" w:type="dxa"/>
            <w:tcBorders>
              <w:tl2br w:val="nil"/>
              <w:tr2bl w:val="nil"/>
            </w:tcBorders>
            <w:vAlign w:val="center"/>
          </w:tcPr>
          <w:p w14:paraId="39B09ACB">
            <w:pPr>
              <w:ind w:firstLine="480" w:firstLineChars="20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总篇数（篇）</w:t>
            </w:r>
          </w:p>
        </w:tc>
        <w:tc>
          <w:tcPr>
            <w:tcW w:w="2841" w:type="dxa"/>
            <w:tcBorders>
              <w:tl2br w:val="nil"/>
              <w:tr2bl w:val="nil"/>
            </w:tcBorders>
            <w:vAlign w:val="center"/>
          </w:tcPr>
          <w:p w14:paraId="4916A8C9">
            <w:pPr>
              <w:ind w:firstLine="480" w:firstLineChars="20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核心期刊（篇）</w:t>
            </w:r>
          </w:p>
        </w:tc>
      </w:tr>
      <w:tr w14:paraId="3CCEF02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62" w:hRule="atLeast"/>
        </w:trPr>
        <w:tc>
          <w:tcPr>
            <w:tcW w:w="2827" w:type="dxa"/>
            <w:tcBorders>
              <w:tl2br w:val="nil"/>
              <w:tr2bl w:val="nil"/>
            </w:tcBorders>
            <w:vAlign w:val="center"/>
          </w:tcPr>
          <w:p w14:paraId="7958F848">
            <w:pPr>
              <w:ind w:firstLine="240" w:firstLineChars="10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小学数学&amp;深度学习</w:t>
            </w:r>
          </w:p>
        </w:tc>
        <w:tc>
          <w:tcPr>
            <w:tcW w:w="2854" w:type="dxa"/>
            <w:tcBorders>
              <w:tl2br w:val="nil"/>
              <w:tr2bl w:val="nil"/>
            </w:tcBorders>
            <w:vAlign w:val="center"/>
          </w:tcPr>
          <w:p w14:paraId="7B4CF737">
            <w:pPr>
              <w:ind w:firstLine="560" w:firstLineChars="200"/>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4248</w:t>
            </w:r>
          </w:p>
        </w:tc>
        <w:tc>
          <w:tcPr>
            <w:tcW w:w="2841" w:type="dxa"/>
            <w:tcBorders>
              <w:tl2br w:val="nil"/>
              <w:tr2bl w:val="nil"/>
            </w:tcBorders>
            <w:vAlign w:val="center"/>
          </w:tcPr>
          <w:p w14:paraId="22F4B89B">
            <w:pPr>
              <w:ind w:firstLine="560" w:firstLineChars="200"/>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34</w:t>
            </w:r>
          </w:p>
        </w:tc>
      </w:tr>
      <w:tr w14:paraId="72A5E70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47" w:hRule="atLeast"/>
        </w:trPr>
        <w:tc>
          <w:tcPr>
            <w:tcW w:w="2827" w:type="dxa"/>
            <w:tcBorders>
              <w:tl2br w:val="nil"/>
              <w:tr2bl w:val="nil"/>
            </w:tcBorders>
            <w:vAlign w:val="center"/>
          </w:tcPr>
          <w:p w14:paraId="7B3B5540">
            <w:pPr>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小学数学学习任务设计</w:t>
            </w:r>
          </w:p>
        </w:tc>
        <w:tc>
          <w:tcPr>
            <w:tcW w:w="2854" w:type="dxa"/>
            <w:tcBorders>
              <w:tl2br w:val="nil"/>
              <w:tr2bl w:val="nil"/>
            </w:tcBorders>
            <w:vAlign w:val="center"/>
          </w:tcPr>
          <w:p w14:paraId="445E3C06">
            <w:pPr>
              <w:ind w:firstLine="560" w:firstLineChars="200"/>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72</w:t>
            </w:r>
          </w:p>
        </w:tc>
        <w:tc>
          <w:tcPr>
            <w:tcW w:w="2841" w:type="dxa"/>
            <w:tcBorders>
              <w:tl2br w:val="nil"/>
              <w:tr2bl w:val="nil"/>
            </w:tcBorders>
            <w:vAlign w:val="center"/>
          </w:tcPr>
          <w:p w14:paraId="428EBF79">
            <w:pPr>
              <w:ind w:firstLine="560" w:firstLineChars="200"/>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6</w:t>
            </w:r>
          </w:p>
        </w:tc>
      </w:tr>
    </w:tbl>
    <w:p w14:paraId="733701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sz w:val="24"/>
          <w:szCs w:val="24"/>
          <w:lang w:val="en-US" w:eastAsia="zh-CN"/>
        </w:rPr>
      </w:pPr>
      <w:r>
        <w:rPr>
          <w:rFonts w:hint="eastAsia" w:ascii="宋体" w:hAnsi="宋体"/>
          <w:sz w:val="24"/>
          <w:szCs w:val="24"/>
          <w:lang w:val="en-US" w:eastAsia="zh-CN"/>
        </w:rPr>
        <w:t>课题组通过中国知网（CNKI），查阅了关于“数学深度学习”和“小学数学学习任务设计”的相关文献，进行了数据整理，形成了自己的认识。</w:t>
      </w:r>
    </w:p>
    <w:p w14:paraId="1D4C74CA">
      <w:pPr>
        <w:spacing w:line="360" w:lineRule="auto"/>
        <w:ind w:right="-107" w:rightChars="-51" w:firstLine="420"/>
        <w:rPr>
          <w:rFonts w:hint="eastAsia" w:ascii="宋体" w:hAnsi="宋体"/>
          <w:sz w:val="24"/>
          <w:szCs w:val="24"/>
        </w:rPr>
      </w:pPr>
      <w:r>
        <w:rPr>
          <w:rFonts w:hint="eastAsia" w:ascii="宋体" w:hAnsi="宋体"/>
          <w:sz w:val="24"/>
          <w:szCs w:val="24"/>
        </w:rPr>
        <w:t>“学习科学重新揭示了学习的本质和规律，它与深度学习紧密相联”</w:t>
      </w:r>
      <w:r>
        <w:rPr>
          <w:rStyle w:val="9"/>
          <w:rFonts w:hint="eastAsia" w:ascii="宋体" w:hAnsi="宋体"/>
          <w:sz w:val="24"/>
          <w:szCs w:val="24"/>
        </w:rPr>
        <w:footnoteReference w:id="3"/>
      </w:r>
      <w:r>
        <w:rPr>
          <w:rFonts w:hint="eastAsia" w:ascii="宋体" w:hAnsi="宋体"/>
          <w:sz w:val="24"/>
          <w:szCs w:val="24"/>
        </w:rPr>
        <w:t>。学习科学诞生以来，一系列研究成果多维度地对深度学习进行阐释，深度学习已成为学习科学分支中的热门研究点。对深度学习理论的文献究综述能够帮助我们寻找解决教学中不足的理论依据。</w:t>
      </w:r>
    </w:p>
    <w:p w14:paraId="63D1EA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eastAsia="zh-CN"/>
        </w:rPr>
      </w:pPr>
      <w:r>
        <w:rPr>
          <w:rFonts w:hint="eastAsia"/>
          <w:b w:val="0"/>
          <w:bCs w:val="0"/>
          <w:sz w:val="24"/>
          <w:szCs w:val="24"/>
          <w:lang w:eastAsia="zh-CN"/>
        </w:rPr>
        <w:t>学习研究的不同阶段中，对于学习的内涵有本质不同，但“学习是如何发生的”和“如何促进学习”一直是学习研究的重要内容，其中“人是如何学习的”是学习科学研究的核心，作为一种主动的和批判的有意义的学习方式，深度学习关注真实情境中的复杂现象，因而，学习科学把人的深度学习作为重要的研究内容，深度学习是学习科学研究中的重要分支。探究“深度学习是如何发生的”和“如何促进深度学习”，成为了当前学习科学领域的重要课题。</w:t>
      </w:r>
    </w:p>
    <w:p w14:paraId="3EE5BE3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eastAsia="zh-CN"/>
        </w:rPr>
      </w:pPr>
      <w:r>
        <w:rPr>
          <w:rFonts w:hint="eastAsia"/>
          <w:b/>
          <w:bCs/>
          <w:sz w:val="24"/>
          <w:szCs w:val="24"/>
          <w:lang w:val="en-US" w:eastAsia="zh-CN"/>
        </w:rPr>
        <w:t>2.</w:t>
      </w:r>
      <w:r>
        <w:rPr>
          <w:rFonts w:hint="eastAsia"/>
          <w:b/>
          <w:bCs/>
          <w:sz w:val="24"/>
          <w:szCs w:val="24"/>
          <w:lang w:eastAsia="zh-CN"/>
        </w:rPr>
        <w:t>深度学习的内涵</w:t>
      </w:r>
    </w:p>
    <w:p w14:paraId="09247D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eastAsia="zh-CN"/>
        </w:rPr>
      </w:pPr>
      <w:r>
        <w:rPr>
          <w:rFonts w:hint="eastAsia"/>
          <w:b w:val="0"/>
          <w:bCs w:val="0"/>
          <w:sz w:val="24"/>
          <w:szCs w:val="24"/>
          <w:lang w:eastAsia="zh-CN"/>
        </w:rPr>
        <w:t>国内外学者对于深度学习的概念给予了不同视角的界定，不同的理解方式代表对深度学习理解的不同阶段。在早期研究中，大多数学者认为深度学习是相对于浅层学习而存在的一种学习方式。早在20世纪50年代，马顿（FerenceMarton）和萨廖（RogerSaljo）就对学生阅读学术文章的过程和结果进行了实验研究，“浅层学习法，关注文本的表层信息，通常只是机械地记忆无关的事实和细节；深度学习法，则关注对文本深层意义的理解，会质疑作者的观点，会联系个人已有的知识和经验”</w:t>
      </w:r>
      <w:r>
        <w:rPr>
          <w:rFonts w:hint="eastAsia"/>
          <w:b w:val="0"/>
          <w:bCs w:val="0"/>
          <w:sz w:val="24"/>
          <w:szCs w:val="24"/>
          <w:vertAlign w:val="superscript"/>
          <w:lang w:eastAsia="zh-CN"/>
        </w:rPr>
        <w:footnoteReference w:id="4"/>
      </w:r>
      <w:r>
        <w:rPr>
          <w:rFonts w:hint="eastAsia"/>
          <w:b w:val="0"/>
          <w:bCs w:val="0"/>
          <w:sz w:val="24"/>
          <w:szCs w:val="24"/>
          <w:lang w:eastAsia="zh-CN"/>
        </w:rPr>
        <w:t>。他们在1976年发表了《学习的本质：结果和过程》一文中，创造性地阐述了浅层学习(SurfaceLearning)和深度学习(DeepLearning)两个相对应的概念。比格斯（Biggs，J.）延续了马顿的研究，认为浅层学习采用低水平认知加工，比如简单记忆或者机械记忆，对应的深度学习则采用高水平或者主动的认知加工。詹森（EricJensen）和尼尔森（LeAnnNickelsen）在《深度学习的7种有力策略》中，相对于浅层学习，提出深度学习的概念，学习者需要经过一步以上的学习和多水平的加工才能获得新的内容和技能，学习者需要转变思想、行为方式或控制力来运用这些内容和技能</w:t>
      </w:r>
      <w:r>
        <w:rPr>
          <w:rFonts w:hint="eastAsia"/>
          <w:b w:val="0"/>
          <w:bCs w:val="0"/>
          <w:sz w:val="24"/>
          <w:szCs w:val="24"/>
          <w:vertAlign w:val="superscript"/>
          <w:lang w:eastAsia="zh-CN"/>
        </w:rPr>
        <w:footnoteReference w:id="5"/>
      </w:r>
      <w:r>
        <w:rPr>
          <w:rFonts w:hint="eastAsia"/>
          <w:b w:val="0"/>
          <w:bCs w:val="0"/>
          <w:sz w:val="24"/>
          <w:szCs w:val="24"/>
          <w:lang w:eastAsia="zh-CN"/>
        </w:rPr>
        <w:t>。2004年，美国教育传播与技术协会（TheAssociationforEducationCmommunicationsandTechnology，AECT）重新修订了教育技术的定义，并强调深度学习的重要性</w:t>
      </w:r>
      <w:r>
        <w:rPr>
          <w:rFonts w:hint="eastAsia"/>
          <w:b w:val="0"/>
          <w:bCs w:val="0"/>
          <w:sz w:val="24"/>
          <w:szCs w:val="24"/>
          <w:vertAlign w:val="superscript"/>
          <w:lang w:eastAsia="zh-CN"/>
        </w:rPr>
        <w:footnoteReference w:id="6"/>
      </w:r>
      <w:r>
        <w:rPr>
          <w:rFonts w:hint="eastAsia"/>
          <w:b w:val="0"/>
          <w:bCs w:val="0"/>
          <w:sz w:val="24"/>
          <w:szCs w:val="24"/>
          <w:lang w:eastAsia="zh-CN"/>
        </w:rPr>
        <w:t>。随着AECT2004定义在国内教育领域的广泛传播，深度学习逐渐引起国内学者的广泛关注，2005年黎加厚指出，“深度学习是指学习者在理解的基础上，能够批判的学习新思想与事实，并将它们融入到原有的认知结构中，能够在众多的思想间进行联系，并能够将已有的知识迁移到新的情境中，做决策和解决问题的学习”</w:t>
      </w:r>
      <w:r>
        <w:rPr>
          <w:rFonts w:hint="eastAsia"/>
          <w:b w:val="0"/>
          <w:bCs w:val="0"/>
          <w:sz w:val="24"/>
          <w:szCs w:val="24"/>
          <w:vertAlign w:val="superscript"/>
          <w:lang w:eastAsia="zh-CN"/>
        </w:rPr>
        <w:footnoteReference w:id="7"/>
      </w:r>
      <w:r>
        <w:rPr>
          <w:rFonts w:hint="eastAsia"/>
          <w:b w:val="0"/>
          <w:bCs w:val="0"/>
          <w:sz w:val="24"/>
          <w:szCs w:val="24"/>
          <w:lang w:eastAsia="zh-CN"/>
        </w:rPr>
        <w:t>。景洪娜等将深度学习和浅层学习的特征进行对比，认为深度学习是一种注重批判性思维的学习方式</w:t>
      </w:r>
      <w:r>
        <w:rPr>
          <w:rFonts w:hint="eastAsia"/>
          <w:b w:val="0"/>
          <w:bCs w:val="0"/>
          <w:sz w:val="24"/>
          <w:szCs w:val="24"/>
          <w:vertAlign w:val="superscript"/>
          <w:lang w:eastAsia="zh-CN"/>
        </w:rPr>
        <w:footnoteReference w:id="8"/>
      </w:r>
      <w:r>
        <w:rPr>
          <w:rFonts w:hint="eastAsia"/>
          <w:b w:val="0"/>
          <w:bCs w:val="0"/>
          <w:sz w:val="24"/>
          <w:szCs w:val="24"/>
          <w:lang w:eastAsia="zh-CN"/>
        </w:rPr>
        <w:t>。</w:t>
      </w:r>
    </w:p>
    <w:p w14:paraId="43D95B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eastAsia="zh-CN"/>
        </w:rPr>
      </w:pPr>
      <w:r>
        <w:rPr>
          <w:sz w:val="24"/>
          <w:szCs w:val="24"/>
        </w:rPr>
        <w:drawing>
          <wp:anchor distT="0" distB="0" distL="114300" distR="114300" simplePos="0" relativeHeight="251663360" behindDoc="0" locked="0" layoutInCell="1" allowOverlap="1">
            <wp:simplePos x="0" y="0"/>
            <wp:positionH relativeFrom="column">
              <wp:posOffset>443865</wp:posOffset>
            </wp:positionH>
            <wp:positionV relativeFrom="paragraph">
              <wp:posOffset>130175</wp:posOffset>
            </wp:positionV>
            <wp:extent cx="4495165" cy="1960245"/>
            <wp:effectExtent l="0" t="0" r="3810" b="4445"/>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4495165" cy="1960245"/>
                    </a:xfrm>
                    <a:prstGeom prst="rect">
                      <a:avLst/>
                    </a:prstGeom>
                    <a:noFill/>
                    <a:ln>
                      <a:noFill/>
                    </a:ln>
                  </pic:spPr>
                </pic:pic>
              </a:graphicData>
            </a:graphic>
          </wp:anchor>
        </w:drawing>
      </w:r>
    </w:p>
    <w:p w14:paraId="560CA5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eastAsia="zh-CN"/>
        </w:rPr>
      </w:pPr>
    </w:p>
    <w:p w14:paraId="72D3AA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eastAsia="zh-CN"/>
        </w:rPr>
      </w:pPr>
    </w:p>
    <w:p w14:paraId="76E3BC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eastAsia="zh-CN"/>
        </w:rPr>
      </w:pPr>
    </w:p>
    <w:p w14:paraId="5C4DCE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eastAsia="zh-CN"/>
        </w:rPr>
      </w:pPr>
    </w:p>
    <w:p w14:paraId="5BCC51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eastAsia="zh-CN"/>
        </w:rPr>
      </w:pPr>
    </w:p>
    <w:p w14:paraId="03DD90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eastAsia="zh-CN"/>
        </w:rPr>
      </w:pPr>
    </w:p>
    <w:p w14:paraId="316490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eastAsia="zh-CN"/>
        </w:rPr>
      </w:pPr>
    </w:p>
    <w:p w14:paraId="7CCA3AB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3.小学数学学习任务</w:t>
      </w:r>
    </w:p>
    <w:p w14:paraId="0DE6E6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学习任务在小学数学学习中越来越占据重要地位，理清小学数学学习任务的内涵及其价值，对于改善学习任务设计、发挥学习任务育人功能具有重要意义。纵观已有研究，发现大量学者在界定数学学习任务时，都采用了这一定义：数学的学习任务指的是将学生的注意力聚焦于涉及数学内容的一系列问题或某一复杂问题上的数学活动。这一定义将数学学习任务视为一种活动。张艳明确了任务型教学法是一个有目标、有计划、有组织的过程，该过程强调学生主动参与学习体验，基于此，其提出学习任务是需要事先准备并要求学生主动参与的教学活动。</w:t>
      </w:r>
      <w:r>
        <w:rPr>
          <w:rFonts w:hint="eastAsia"/>
          <w:b w:val="0"/>
          <w:bCs w:val="0"/>
          <w:sz w:val="24"/>
          <w:szCs w:val="24"/>
          <w:vertAlign w:val="superscript"/>
          <w:lang w:val="en-US" w:eastAsia="zh-CN"/>
        </w:rPr>
        <w:footnoteReference w:id="9"/>
      </w:r>
      <w:r>
        <w:rPr>
          <w:rFonts w:hint="eastAsia"/>
          <w:b w:val="0"/>
          <w:bCs w:val="0"/>
          <w:sz w:val="24"/>
          <w:szCs w:val="24"/>
          <w:lang w:val="en-US" w:eastAsia="zh-CN"/>
        </w:rPr>
        <w:t>由此，小学数学学习任务通常被视为数学领域的一系列活动，学生在参与活动过程中开展问题解决。</w:t>
      </w:r>
    </w:p>
    <w:p w14:paraId="76588D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关于数学学习任务的价值，具体表现在：数学任务可以帮助学生明确“数学是什么”，并在课堂实施过程中从多个层面影响学生的数学学习。真实任务是学生学习数学的重要资源，能够发展学生的数学思维、数学理解，培养实践能力与创造思维，帮助学生形成积极的数学价值观。高认知水平的数学任务可以促进学生实现再创造，发展高阶思维，强化数学应用意识，使数学学习成为一个生动、活泼、主动的过程。</w:t>
      </w:r>
      <w:r>
        <w:rPr>
          <w:rFonts w:hint="eastAsia"/>
          <w:b w:val="0"/>
          <w:bCs w:val="0"/>
          <w:sz w:val="24"/>
          <w:szCs w:val="24"/>
          <w:vertAlign w:val="superscript"/>
          <w:lang w:val="en-US" w:eastAsia="zh-CN"/>
        </w:rPr>
        <w:footnoteReference w:id="10"/>
      </w:r>
      <w:r>
        <w:rPr>
          <w:rFonts w:hint="eastAsia"/>
          <w:b w:val="0"/>
          <w:bCs w:val="0"/>
          <w:sz w:val="24"/>
          <w:szCs w:val="24"/>
          <w:lang w:val="en-US" w:eastAsia="zh-CN"/>
        </w:rPr>
        <w:t>可见，在小学数学学习中，学习任务具有重要的育人功能，逐渐成为发展学生问题解决能力、生成高阶思维与核心素养的重要路径。随着学习任务在数学学习中的应用和展开，任务的设计和实施存在着明显的不足，主要表现在情境设计、问题选择、知识组织等方面。有学者指出，在数学课堂上，任务设计被简单地视为教案设计，教师主要是以例题的形式来呈现“任务”。在数学情境化设计中，存在追求形式不求实质的现象，比如那些贴标签式的、主观生造与实际相悖的情境设计并不是数学课堂所需要的。</w:t>
      </w:r>
      <w:r>
        <w:rPr>
          <w:rFonts w:hint="eastAsia"/>
          <w:b w:val="0"/>
          <w:bCs w:val="0"/>
          <w:sz w:val="24"/>
          <w:szCs w:val="24"/>
          <w:vertAlign w:val="superscript"/>
          <w:lang w:val="en-US" w:eastAsia="zh-CN"/>
        </w:rPr>
        <w:footnoteReference w:id="11"/>
      </w:r>
      <w:r>
        <w:rPr>
          <w:rFonts w:hint="eastAsia"/>
          <w:b w:val="0"/>
          <w:bCs w:val="0"/>
          <w:sz w:val="24"/>
          <w:szCs w:val="24"/>
          <w:lang w:val="en-US" w:eastAsia="zh-CN"/>
        </w:rPr>
        <w:t>在数学习题设计中，学生通常接触的是“结构良好”的问题，这类问题的主要条件、结论和解答方式都是精心设计的，学生接触开放性的“结构不良问题”的机会很少，尤其是仅给出对情境的概括性描述，需要学生自行分析、发现、提出问题、思考方案的题目少之又少。</w:t>
      </w:r>
    </w:p>
    <w:p w14:paraId="212F48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此外，对于数学学科中探究性问题的设计，缺乏对数学问题解决过程的分析，而是更多依赖于教师的个人经验，具有较强的主观性。在知识的组织上，学生对数学知识、数学原理的积累和运用始终是学习的重点，对知识的探究和方法经验的积累则通常被忽视，这就导致学生难以通过“类比”的方法学习与探究结构相似的内容，不能以少驭多、以简驭繁。除此之外，课堂教学中所使用的教学任务，常常缺乏针对特定教学目标及其层次的细致考虑，任务与目标缺乏一致性。宋运明等人基于对小数数学优质课堂的观摩与分析，对小学数学任务的教学结构、教材来源、认知水平和教学行为展开深入讨论，提出小学数学学习任务可以从深化教材理解、增加学生提问等方面进行提升。可见，在数学学习过程中，关于学习任务的设计和实施还存在诸多问题，有待进一步完善。</w:t>
      </w:r>
    </w:p>
    <w:p w14:paraId="41822B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sz w:val="24"/>
          <w:szCs w:val="32"/>
          <w:lang w:val="en-US" w:eastAsia="zh-CN"/>
        </w:rPr>
      </w:pPr>
      <w:r>
        <w:drawing>
          <wp:inline distT="0" distB="0" distL="114300" distR="114300">
            <wp:extent cx="4429125" cy="2534285"/>
            <wp:effectExtent l="0" t="0" r="381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8"/>
                    <a:stretch>
                      <a:fillRect/>
                    </a:stretch>
                  </pic:blipFill>
                  <pic:spPr>
                    <a:xfrm>
                      <a:off x="0" y="0"/>
                      <a:ext cx="4429125" cy="2534285"/>
                    </a:xfrm>
                    <a:prstGeom prst="rect">
                      <a:avLst/>
                    </a:prstGeom>
                    <a:noFill/>
                    <a:ln>
                      <a:noFill/>
                    </a:ln>
                  </pic:spPr>
                </pic:pic>
              </a:graphicData>
            </a:graphic>
          </wp:inline>
        </w:drawing>
      </w:r>
    </w:p>
    <w:p w14:paraId="56C2CB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32"/>
          <w:lang w:eastAsia="zh-CN"/>
        </w:rPr>
      </w:pPr>
      <w:r>
        <w:rPr>
          <w:rFonts w:hint="eastAsia"/>
          <w:b w:val="0"/>
          <w:bCs w:val="0"/>
          <w:sz w:val="24"/>
          <w:szCs w:val="32"/>
          <w:lang w:val="en-US" w:eastAsia="zh-CN"/>
        </w:rPr>
        <w:t>综上所述，当前小学数学学习方式逐渐由传统单一的知识讲授转变为在任务、问题、活动中进行学习，强调学生在活动过程中的主动参与、协作探究、问题解决等，以此发展学生的核心素养。但在具体的实施过程中，情境与现实脱离、问题结构良好且不具挑战性、知识学习不符合学生发展规律、任务设计不符合学习目标等问题长期存在，这就导致学生的学习缺乏真实性，难以发挥学习任务对于发展学生知识运用、问题解决等高阶能力的重要价值。因此，基于对小学数学学习任务设计现状的反思，发现有必要以真实学习为导向，探讨如何改进与创新小学数学学习任务的核心理念与实施策略，进而提升数学学习的真实性。</w:t>
      </w:r>
    </w:p>
    <w:p w14:paraId="701A1870">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四、研究的主要成果</w:t>
      </w:r>
    </w:p>
    <w:p w14:paraId="502DA2F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32"/>
        </w:rPr>
      </w:pPr>
      <w:r>
        <w:rPr>
          <w:rFonts w:hint="eastAsia"/>
          <w:b/>
          <w:bCs/>
          <w:sz w:val="24"/>
          <w:szCs w:val="32"/>
        </w:rPr>
        <w:t>（一）理论成果</w:t>
      </w:r>
    </w:p>
    <w:p w14:paraId="04D9BA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1.</w:t>
      </w:r>
      <w:r>
        <w:rPr>
          <w:rFonts w:hint="eastAsia"/>
          <w:sz w:val="24"/>
          <w:szCs w:val="32"/>
        </w:rPr>
        <w:t>形成了深度学习导向下小学数学学习任务设计的基本原则</w:t>
      </w:r>
      <w:r>
        <w:rPr>
          <w:rFonts w:hint="eastAsia"/>
          <w:sz w:val="24"/>
          <w:szCs w:val="32"/>
          <w:lang w:eastAsia="zh-CN"/>
        </w:rPr>
        <w:t>。</w:t>
      </w:r>
      <w:r>
        <w:rPr>
          <w:rFonts w:hint="eastAsia"/>
          <w:sz w:val="24"/>
          <w:szCs w:val="32"/>
        </w:rPr>
        <w:t>通过研究，我们总结出了深度学习导向下小学数学学习任务设计的基本原则，包括目标导向原则、学生主体原则、情境创设原则、问题驱动原则、层次性原则和开放性原则等。这些原则为学习任务的设计提供了理论指导。</w:t>
      </w:r>
    </w:p>
    <w:p w14:paraId="7292BA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2.初步形成</w:t>
      </w:r>
      <w:r>
        <w:rPr>
          <w:rFonts w:hint="eastAsia"/>
          <w:sz w:val="24"/>
          <w:szCs w:val="32"/>
        </w:rPr>
        <w:t>深度学习导向下小学数学学习任务设计与实施的策略</w:t>
      </w:r>
      <w:r>
        <w:rPr>
          <w:rFonts w:hint="eastAsia"/>
          <w:sz w:val="24"/>
          <w:szCs w:val="32"/>
          <w:lang w:eastAsia="zh-CN"/>
        </w:rPr>
        <w:t>。</w:t>
      </w:r>
      <w:r>
        <w:rPr>
          <w:rFonts w:hint="eastAsia"/>
          <w:sz w:val="24"/>
          <w:szCs w:val="32"/>
        </w:rPr>
        <w:t>我们探索出了一系列学习任务设计与实施的策略，如任务目标的确定策略、任务情境的创设策略、任务问题的设计策略、任务实施的指导策略等。这些策略为教师进行学习任务设计与实施提供了具体的方法和途径。</w:t>
      </w:r>
    </w:p>
    <w:p w14:paraId="77F62D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3.</w:t>
      </w:r>
      <w:r>
        <w:rPr>
          <w:rFonts w:hint="eastAsia"/>
          <w:sz w:val="24"/>
          <w:szCs w:val="32"/>
        </w:rPr>
        <w:t>形成了基于深度学习的小学数学课堂教学模式</w:t>
      </w:r>
      <w:r>
        <w:rPr>
          <w:rFonts w:hint="eastAsia"/>
          <w:sz w:val="24"/>
          <w:szCs w:val="32"/>
          <w:lang w:eastAsia="zh-CN"/>
        </w:rPr>
        <w:t>。</w:t>
      </w:r>
      <w:r>
        <w:rPr>
          <w:rFonts w:hint="eastAsia"/>
          <w:sz w:val="24"/>
          <w:szCs w:val="32"/>
        </w:rPr>
        <w:t>通过教学实践，我们初步形成了</w:t>
      </w:r>
      <w:r>
        <w:rPr>
          <w:rFonts w:hint="eastAsia"/>
          <w:sz w:val="24"/>
          <w:szCs w:val="32"/>
          <w:lang w:val="en-US" w:eastAsia="zh-CN"/>
        </w:rPr>
        <w:t>不同课型</w:t>
      </w:r>
      <w:r>
        <w:rPr>
          <w:rFonts w:hint="eastAsia"/>
          <w:sz w:val="24"/>
          <w:szCs w:val="32"/>
        </w:rPr>
        <w:t>基于深度学习的小学数学课堂</w:t>
      </w:r>
      <w:r>
        <w:rPr>
          <w:rFonts w:hint="eastAsia"/>
          <w:sz w:val="24"/>
          <w:szCs w:val="32"/>
          <w:lang w:val="en-US" w:eastAsia="zh-CN"/>
        </w:rPr>
        <w:t>学习任务设计与实施的范式</w:t>
      </w:r>
      <w:r>
        <w:rPr>
          <w:rFonts w:hint="eastAsia"/>
          <w:sz w:val="24"/>
          <w:szCs w:val="32"/>
        </w:rPr>
        <w:t>。该</w:t>
      </w:r>
      <w:r>
        <w:rPr>
          <w:rFonts w:hint="eastAsia"/>
          <w:sz w:val="24"/>
          <w:szCs w:val="32"/>
          <w:lang w:val="en-US" w:eastAsia="zh-CN"/>
        </w:rPr>
        <w:t>范式</w:t>
      </w:r>
      <w:r>
        <w:rPr>
          <w:rFonts w:hint="eastAsia"/>
          <w:sz w:val="24"/>
          <w:szCs w:val="32"/>
        </w:rPr>
        <w:t>注重学生的主动参与和深度思考，能够有效促进学生的深度学习。</w:t>
      </w:r>
    </w:p>
    <w:p w14:paraId="739DDE5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32"/>
        </w:rPr>
      </w:pPr>
      <w:r>
        <w:rPr>
          <w:rFonts w:hint="eastAsia"/>
          <w:b/>
          <w:bCs/>
          <w:sz w:val="24"/>
          <w:szCs w:val="32"/>
        </w:rPr>
        <w:t>（二）实践成果</w:t>
      </w:r>
    </w:p>
    <w:p w14:paraId="0E0181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完成了服务课题研究的环境设计与环境改造</w:t>
      </w:r>
      <w:r>
        <w:rPr>
          <w:rFonts w:hint="eastAsia"/>
          <w:sz w:val="24"/>
          <w:szCs w:val="32"/>
          <w:lang w:eastAsia="zh-CN"/>
        </w:rPr>
        <w:t>。</w:t>
      </w:r>
      <w:r>
        <w:rPr>
          <w:rFonts w:hint="eastAsia"/>
          <w:sz w:val="24"/>
          <w:szCs w:val="32"/>
        </w:rPr>
        <w:t>为了更好地开展课题研究，我们对实验班级的教学环境进行了设计和改造，营造了有利于深度学习的学习氛围。例如，在教室设置了学习任务展示区，展示学生的学习成果；增加了数学阅读角，为学生提供丰富的数学阅读材料。</w:t>
      </w:r>
    </w:p>
    <w:p w14:paraId="5A55A21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32"/>
        </w:rPr>
      </w:pPr>
      <w:r>
        <w:rPr>
          <w:rFonts w:hint="eastAsia"/>
          <w:b/>
          <w:bCs/>
          <w:sz w:val="24"/>
          <w:szCs w:val="32"/>
          <w:lang w:val="en-US" w:eastAsia="zh-CN"/>
        </w:rPr>
        <w:t>（三）</w:t>
      </w:r>
      <w:r>
        <w:rPr>
          <w:rFonts w:hint="eastAsia"/>
          <w:b/>
          <w:bCs/>
          <w:sz w:val="24"/>
          <w:szCs w:val="32"/>
        </w:rPr>
        <w:t>课</w:t>
      </w:r>
      <w:r>
        <w:rPr>
          <w:rFonts w:hint="eastAsia"/>
          <w:b/>
          <w:bCs/>
          <w:sz w:val="24"/>
          <w:szCs w:val="32"/>
          <w:lang w:val="en-US" w:eastAsia="zh-CN"/>
        </w:rPr>
        <w:t>题</w:t>
      </w:r>
      <w:r>
        <w:rPr>
          <w:rFonts w:hint="eastAsia"/>
          <w:b/>
          <w:bCs/>
          <w:sz w:val="24"/>
          <w:szCs w:val="32"/>
        </w:rPr>
        <w:t>研究的物化成果</w:t>
      </w:r>
    </w:p>
    <w:p w14:paraId="3B35D6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在前期研究的基础上，我们正逐步理清思绪，明确研究方向，取得初浅成效。</w:t>
      </w:r>
    </w:p>
    <w:p w14:paraId="68FDC1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1.</w:t>
      </w:r>
      <w:r>
        <w:rPr>
          <w:rFonts w:hint="eastAsia"/>
          <w:sz w:val="24"/>
          <w:szCs w:val="32"/>
        </w:rPr>
        <w:t>系列论文集：研究团队成员撰写了关于深度学习导向下小学数学学习任务设计与实施的论文，其中</w:t>
      </w:r>
      <w:r>
        <w:rPr>
          <w:rFonts w:hint="eastAsia"/>
          <w:sz w:val="24"/>
          <w:szCs w:val="32"/>
          <w:lang w:val="en-US" w:eastAsia="zh-CN"/>
        </w:rPr>
        <w:t>《以进阶的数学活动促进推理意识的发展》</w:t>
      </w:r>
      <w:r>
        <w:rPr>
          <w:rFonts w:hint="eastAsia"/>
          <w:sz w:val="24"/>
          <w:szCs w:val="32"/>
        </w:rPr>
        <w:t>等</w:t>
      </w:r>
      <w:r>
        <w:rPr>
          <w:rFonts w:hint="eastAsia"/>
          <w:sz w:val="24"/>
          <w:szCs w:val="32"/>
          <w:lang w:val="en-US" w:eastAsia="zh-CN"/>
        </w:rPr>
        <w:t>16</w:t>
      </w:r>
      <w:r>
        <w:rPr>
          <w:rFonts w:hint="eastAsia"/>
          <w:sz w:val="24"/>
          <w:szCs w:val="32"/>
        </w:rPr>
        <w:t>篇论文在省级以上期刊发表。</w:t>
      </w:r>
    </w:p>
    <w:p w14:paraId="1B8DCD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2.</w:t>
      </w:r>
      <w:r>
        <w:rPr>
          <w:rFonts w:hint="eastAsia"/>
          <w:sz w:val="24"/>
          <w:szCs w:val="32"/>
        </w:rPr>
        <w:t>形成学习任务案例集：开发了30个适合不同年级、不同知识点的深度学习导向下的小学数学学习任务案例，这些案例涵盖了数与代数、图形与几何、统计与概率等多个领域。</w:t>
      </w:r>
    </w:p>
    <w:p w14:paraId="0E837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3.</w:t>
      </w:r>
      <w:r>
        <w:rPr>
          <w:rFonts w:hint="eastAsia"/>
          <w:sz w:val="24"/>
          <w:szCs w:val="32"/>
        </w:rPr>
        <w:t>优秀案例集：收集了</w:t>
      </w:r>
      <w:r>
        <w:rPr>
          <w:rFonts w:hint="eastAsia"/>
          <w:sz w:val="24"/>
          <w:szCs w:val="32"/>
          <w:lang w:val="en-US" w:eastAsia="zh-CN"/>
        </w:rPr>
        <w:t>30</w:t>
      </w:r>
      <w:r>
        <w:rPr>
          <w:rFonts w:hint="eastAsia"/>
          <w:sz w:val="24"/>
          <w:szCs w:val="32"/>
        </w:rPr>
        <w:t>个在教学实验中效果较好的学习任务实施案例，包括案例背景、任务设计、实施过程、学生表现和教学反思等内容。</w:t>
      </w:r>
    </w:p>
    <w:p w14:paraId="1CEE01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4.</w:t>
      </w:r>
      <w:r>
        <w:rPr>
          <w:rFonts w:hint="eastAsia"/>
          <w:sz w:val="24"/>
          <w:szCs w:val="32"/>
        </w:rPr>
        <w:t>观察记录、典型个案研究集：对学生在学习任务实施过程中的表现进行了详细的观察记录，选取了10个典型个案进行深入研究，分析了学生的学习行为、思维过程和学习效果的变化。</w:t>
      </w:r>
    </w:p>
    <w:p w14:paraId="5CFB6D4B">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五、存在问题及打算</w:t>
      </w:r>
    </w:p>
    <w:p w14:paraId="7269E4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（一）存在问题</w:t>
      </w:r>
    </w:p>
    <w:p w14:paraId="570CEB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1.</w:t>
      </w:r>
      <w:r>
        <w:rPr>
          <w:rFonts w:hint="eastAsia"/>
          <w:sz w:val="24"/>
          <w:szCs w:val="32"/>
        </w:rPr>
        <w:t>学习任务设计的针对性和适应性有待进一步提高，部分任务设计未能充分考虑不同学生的认知水平和学习需求。学习任务实施过程中，教师的指导策略还不够灵活，有时不能及时满足学生的学习需求，对学生深度学习的引导不够深入。</w:t>
      </w:r>
    </w:p>
    <w:p w14:paraId="6A8C90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2.2.课题组成员的日常实践意识和能力较强，但对课题成果的聚焦和及时提炼意识还不强，近期撰写的论文、案例与课题的相关度不够紧密。</w:t>
      </w:r>
    </w:p>
    <w:p w14:paraId="3E6696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3.课题组成员对已经形成的学习任务有了把握，但日常教学的每一个单元和每一个长程系列如何迁移推展，并在过程中设计学习任务，以提升其育人价值还缺乏深入思考。</w:t>
      </w:r>
    </w:p>
    <w:p w14:paraId="4F90F9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lang w:val="en-US" w:eastAsia="zh-CN"/>
        </w:rPr>
      </w:pPr>
    </w:p>
    <w:p w14:paraId="64BC0F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（二）后续打算</w:t>
      </w:r>
    </w:p>
    <w:p w14:paraId="408EBE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基于现有成果，下阶段从五方面深化研究。内容上，深挖知识探究、生活应用、创新拓展类任务，针对数与代数、图形几何等全领域知识难点，构建贯通全学段的深度学习任务体系；方法上，摒弃集中研讨的阶段性模式，建立“备课-教学-反思”日常研究机制，教师课前微探究、课后细复盘，让理念融入日常教学。​</w:t>
      </w:r>
    </w:p>
    <w:p w14:paraId="179743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成员方面，以骨干教师为引领，分层培训，设立激励机制，带动全体教师开展个性化任务设计实践。品质层面，打破固化模式，依教学内容、学情灵活搭配基础与拓展、个人与小组任务，提升任务适配性。​</w:t>
      </w:r>
    </w:p>
    <w:p w14:paraId="2D53E5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rPr>
        <w:t>专业发展上，通过理论学习、案例分享，增强教师对深度学习任务设计的认同感，促使教师主动关注前沿、开展创新研究，实现从外在要求到专业自觉的转变，推动课题研究向纵深发展。</w:t>
      </w:r>
    </w:p>
    <w:p w14:paraId="32C20757">
      <w:pPr>
        <w:rPr>
          <w:rFonts w:hint="eastAsia"/>
          <w:sz w:val="24"/>
          <w:szCs w:val="32"/>
          <w:lang w:val="en-US" w:eastAsia="zh-CN"/>
        </w:rPr>
      </w:pPr>
    </w:p>
    <w:p w14:paraId="0331BBD8">
      <w:pPr>
        <w:rPr>
          <w:rFonts w:hint="eastAsia"/>
          <w:sz w:val="24"/>
          <w:szCs w:val="32"/>
          <w:lang w:val="en-US" w:eastAsia="zh-CN"/>
        </w:rPr>
      </w:pPr>
    </w:p>
    <w:p w14:paraId="4734A518">
      <w:pPr>
        <w:rPr>
          <w:rFonts w:hint="default"/>
          <w:sz w:val="24"/>
          <w:szCs w:val="32"/>
          <w:lang w:val="en-US" w:eastAsia="zh-CN"/>
        </w:rPr>
      </w:pPr>
      <w:r>
        <w:rPr>
          <w:rFonts w:hint="default"/>
          <w:sz w:val="24"/>
          <w:szCs w:val="32"/>
          <w:lang w:val="en-US" w:eastAsia="zh-CN"/>
        </w:rPr>
        <w:br w:type="page"/>
      </w:r>
    </w:p>
    <w:p w14:paraId="744FFA57">
      <w:pPr>
        <w:ind w:left="-603" w:leftChars="-295" w:hanging="16" w:hangingChars="5"/>
        <w:jc w:val="center"/>
        <w:rPr>
          <w:rFonts w:hint="default" w:ascii="宋体" w:hAnsi="宋体" w:eastAsia="宋体" w:cs="宋体"/>
          <w:bCs/>
          <w:spacing w:val="0"/>
          <w:sz w:val="32"/>
          <w:szCs w:val="21"/>
          <w:u w:val="none"/>
          <w:lang w:val="en-US" w:eastAsia="zh-CN"/>
        </w:rPr>
      </w:pPr>
      <w:r>
        <w:rPr>
          <w:rFonts w:hint="eastAsia" w:ascii="宋体" w:hAnsi="宋体" w:eastAsia="宋体" w:cs="宋体"/>
          <w:bCs/>
          <w:spacing w:val="0"/>
          <w:sz w:val="32"/>
          <w:szCs w:val="21"/>
          <w:u w:val="none"/>
          <w:lang w:val="en-US" w:eastAsia="zh-CN"/>
        </w:rPr>
        <w:t>1.论文发表汇总表</w:t>
      </w:r>
    </w:p>
    <w:tbl>
      <w:tblPr>
        <w:tblStyle w:val="5"/>
        <w:tblpPr w:leftFromText="180" w:rightFromText="180" w:vertAnchor="text" w:horzAnchor="page" w:tblpX="1608" w:tblpY="292"/>
        <w:tblOverlap w:val="never"/>
        <w:tblW w:w="97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8"/>
        <w:gridCol w:w="664"/>
        <w:gridCol w:w="1139"/>
        <w:gridCol w:w="3484"/>
        <w:gridCol w:w="1409"/>
        <w:gridCol w:w="2191"/>
      </w:tblGrid>
      <w:tr w14:paraId="738E0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888" w:type="dxa"/>
            <w:tcBorders>
              <w:top w:val="single" w:color="000000" w:sz="8" w:space="0"/>
              <w:left w:val="single" w:color="000000" w:sz="8" w:space="0"/>
              <w:bottom w:val="single" w:color="000000" w:sz="8" w:space="0"/>
              <w:right w:val="single" w:color="000000" w:sz="8" w:space="0"/>
            </w:tcBorders>
            <w:shd w:val="clear" w:color="auto" w:fill="FFF2CC"/>
            <w:vAlign w:val="center"/>
          </w:tcPr>
          <w:p w14:paraId="6658EF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64" w:type="dxa"/>
            <w:tcBorders>
              <w:top w:val="single" w:color="000000" w:sz="8" w:space="0"/>
              <w:left w:val="single" w:color="000000" w:sz="8" w:space="0"/>
              <w:bottom w:val="single" w:color="000000" w:sz="8" w:space="0"/>
              <w:right w:val="single" w:color="000000" w:sz="8" w:space="0"/>
            </w:tcBorders>
            <w:shd w:val="clear" w:color="auto" w:fill="FFF2CC"/>
            <w:vAlign w:val="center"/>
          </w:tcPr>
          <w:p w14:paraId="5D6D8D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级别</w:t>
            </w:r>
          </w:p>
        </w:tc>
        <w:tc>
          <w:tcPr>
            <w:tcW w:w="1139" w:type="dxa"/>
            <w:tcBorders>
              <w:top w:val="single" w:color="000000" w:sz="8" w:space="0"/>
              <w:left w:val="single" w:color="000000" w:sz="8" w:space="0"/>
              <w:bottom w:val="single" w:color="000000" w:sz="8" w:space="0"/>
              <w:right w:val="single" w:color="000000" w:sz="8" w:space="0"/>
            </w:tcBorders>
            <w:shd w:val="clear" w:color="auto" w:fill="FFF2CC"/>
            <w:vAlign w:val="center"/>
          </w:tcPr>
          <w:p w14:paraId="21D7C5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时间</w:t>
            </w:r>
          </w:p>
        </w:tc>
        <w:tc>
          <w:tcPr>
            <w:tcW w:w="3484" w:type="dxa"/>
            <w:tcBorders>
              <w:top w:val="single" w:color="000000" w:sz="8" w:space="0"/>
              <w:left w:val="single" w:color="000000" w:sz="8" w:space="0"/>
              <w:bottom w:val="single" w:color="000000" w:sz="8" w:space="0"/>
              <w:right w:val="single" w:color="000000" w:sz="8" w:space="0"/>
            </w:tcBorders>
            <w:shd w:val="clear" w:color="auto" w:fill="FFF2CC"/>
            <w:vAlign w:val="center"/>
          </w:tcPr>
          <w:p w14:paraId="0438D8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论文题目</w:t>
            </w:r>
          </w:p>
        </w:tc>
        <w:tc>
          <w:tcPr>
            <w:tcW w:w="1409" w:type="dxa"/>
            <w:tcBorders>
              <w:top w:val="single" w:color="000000" w:sz="8" w:space="0"/>
              <w:left w:val="single" w:color="000000" w:sz="8" w:space="0"/>
              <w:bottom w:val="single" w:color="000000" w:sz="8" w:space="0"/>
              <w:right w:val="single" w:color="000000" w:sz="8" w:space="0"/>
            </w:tcBorders>
            <w:shd w:val="clear" w:color="auto" w:fill="FFF2CC"/>
            <w:vAlign w:val="center"/>
          </w:tcPr>
          <w:p w14:paraId="7AEB78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教师姓名</w:t>
            </w:r>
          </w:p>
        </w:tc>
        <w:tc>
          <w:tcPr>
            <w:tcW w:w="2191" w:type="dxa"/>
            <w:tcBorders>
              <w:top w:val="single" w:color="000000" w:sz="8" w:space="0"/>
              <w:left w:val="single" w:color="000000" w:sz="8" w:space="0"/>
              <w:bottom w:val="single" w:color="000000" w:sz="8" w:space="0"/>
              <w:right w:val="single" w:color="000000" w:sz="8" w:space="0"/>
            </w:tcBorders>
            <w:shd w:val="clear" w:color="auto" w:fill="FFF2CC"/>
            <w:vAlign w:val="center"/>
          </w:tcPr>
          <w:p w14:paraId="48AD14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刊物名称</w:t>
            </w:r>
          </w:p>
        </w:tc>
      </w:tr>
      <w:tr w14:paraId="7405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5EF8C">
            <w:pPr>
              <w:keepNext w:val="0"/>
              <w:keepLines w:val="0"/>
              <w:widowControl/>
              <w:numPr>
                <w:ilvl w:val="0"/>
                <w:numId w:val="3"/>
              </w:numPr>
              <w:suppressLineNumbers w:val="0"/>
              <w:ind w:left="425" w:leftChars="0" w:hanging="425" w:firstLineChars="0"/>
              <w:jc w:val="right"/>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826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省级</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7ED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2024.03</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2616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以进阶的数学活动促进推理意识的发展——《三角形的内角和》教学实录(二)</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7E9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荆亚琴</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FD9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《小学教学设计》</w:t>
            </w:r>
          </w:p>
        </w:tc>
      </w:tr>
      <w:tr w14:paraId="46A17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4CB4A">
            <w:pPr>
              <w:keepNext w:val="0"/>
              <w:keepLines w:val="0"/>
              <w:widowControl/>
              <w:numPr>
                <w:ilvl w:val="0"/>
                <w:numId w:val="3"/>
              </w:numPr>
              <w:suppressLineNumbers w:val="0"/>
              <w:ind w:left="425" w:leftChars="0" w:hanging="425" w:firstLineChars="0"/>
              <w:jc w:val="right"/>
              <w:textAlignment w:val="center"/>
              <w:rPr>
                <w:rFonts w:hint="eastAsia" w:ascii="宋体" w:hAnsi="宋体" w:eastAsia="宋体" w:cs="宋体"/>
                <w:i w:val="0"/>
                <w:iCs w:val="0"/>
                <w:color w:val="000000"/>
                <w:kern w:val="0"/>
                <w:sz w:val="22"/>
                <w:szCs w:val="22"/>
                <w:u w:val="none"/>
                <w:lang w:val="en-US" w:eastAsia="zh-CN" w:bidi="ar"/>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7F7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省级</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CB3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2025.04</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7760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在问题解决中培养应用意识——《简单的数量关系(一)》教学与思考</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B1A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荆亚琴</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C16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《小学教学设计》</w:t>
            </w:r>
          </w:p>
        </w:tc>
      </w:tr>
      <w:tr w14:paraId="03D5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CA8FD">
            <w:pPr>
              <w:keepNext w:val="0"/>
              <w:keepLines w:val="0"/>
              <w:widowControl/>
              <w:numPr>
                <w:ilvl w:val="0"/>
                <w:numId w:val="3"/>
              </w:numPr>
              <w:suppressLineNumbers w:val="0"/>
              <w:ind w:left="425" w:leftChars="0" w:hanging="425" w:firstLineChars="0"/>
              <w:jc w:val="right"/>
              <w:textAlignment w:val="center"/>
              <w:rPr>
                <w:rFonts w:hint="eastAsia" w:ascii="宋体" w:hAnsi="宋体" w:eastAsia="宋体" w:cs="宋体"/>
                <w:i w:val="0"/>
                <w:iCs w:val="0"/>
                <w:color w:val="000000"/>
                <w:kern w:val="0"/>
                <w:sz w:val="22"/>
                <w:szCs w:val="22"/>
                <w:u w:val="none"/>
                <w:lang w:val="en-US" w:eastAsia="zh-CN" w:bidi="ar"/>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FE6CD">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省级</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487F3">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2025.05</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41E07">
            <w:pPr>
              <w:keepNext w:val="0"/>
              <w:keepLines w:val="0"/>
              <w:widowControl/>
              <w:suppressLineNumbers w:val="0"/>
              <w:jc w:val="left"/>
              <w:textAlignment w:val="center"/>
              <w:rPr>
                <w:rFonts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基于学科育人的小学数学教学策略</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C7D43">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王妍</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B1D45">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《数学小灵通》</w:t>
            </w:r>
          </w:p>
        </w:tc>
      </w:tr>
      <w:tr w14:paraId="447E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DDE12">
            <w:pPr>
              <w:keepNext w:val="0"/>
              <w:keepLines w:val="0"/>
              <w:widowControl/>
              <w:numPr>
                <w:ilvl w:val="0"/>
                <w:numId w:val="3"/>
              </w:numPr>
              <w:suppressLineNumbers w:val="0"/>
              <w:ind w:left="425" w:leftChars="0" w:hanging="425" w:firstLineChars="0"/>
              <w:jc w:val="right"/>
              <w:textAlignment w:val="center"/>
              <w:rPr>
                <w:rFonts w:hint="eastAsia" w:ascii="宋体" w:hAnsi="宋体" w:eastAsia="宋体" w:cs="宋体"/>
                <w:i w:val="0"/>
                <w:iCs w:val="0"/>
                <w:color w:val="000000"/>
                <w:kern w:val="0"/>
                <w:sz w:val="22"/>
                <w:szCs w:val="22"/>
                <w:u w:val="none"/>
                <w:lang w:val="en-US" w:eastAsia="zh-CN" w:bidi="ar"/>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1B7C6">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省级</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3D021">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2DE59">
            <w:pPr>
              <w:keepNext w:val="0"/>
              <w:keepLines w:val="0"/>
              <w:widowControl/>
              <w:suppressLineNumbers w:val="0"/>
              <w:jc w:val="left"/>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“结构化”视域下小学数学核心任务的设计与教学实践研究</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062B4">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肖喜萌</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8BF71">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《教育考试与评价》</w:t>
            </w:r>
          </w:p>
        </w:tc>
      </w:tr>
      <w:tr w14:paraId="57764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6E35E">
            <w:pPr>
              <w:keepNext w:val="0"/>
              <w:keepLines w:val="0"/>
              <w:widowControl/>
              <w:numPr>
                <w:ilvl w:val="0"/>
                <w:numId w:val="3"/>
              </w:numPr>
              <w:suppressLineNumbers w:val="0"/>
              <w:ind w:left="425" w:leftChars="0" w:hanging="425" w:firstLineChars="0"/>
              <w:jc w:val="right"/>
              <w:textAlignment w:val="center"/>
              <w:rPr>
                <w:rFonts w:hint="eastAsia" w:ascii="宋体" w:hAnsi="宋体" w:eastAsia="宋体" w:cs="宋体"/>
                <w:i w:val="0"/>
                <w:iCs w:val="0"/>
                <w:color w:val="000000"/>
                <w:kern w:val="0"/>
                <w:sz w:val="22"/>
                <w:szCs w:val="22"/>
                <w:u w:val="none"/>
                <w:lang w:val="en-US" w:eastAsia="zh-CN" w:bidi="ar"/>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608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省级</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5A4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2024.4</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F4A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结构化视域下数学核心任务设计与教学探析 </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334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徐璐</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F21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《基础教育参考》</w:t>
            </w:r>
          </w:p>
        </w:tc>
      </w:tr>
      <w:tr w14:paraId="5D638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A1499">
            <w:pPr>
              <w:keepNext w:val="0"/>
              <w:keepLines w:val="0"/>
              <w:widowControl/>
              <w:numPr>
                <w:ilvl w:val="0"/>
                <w:numId w:val="3"/>
              </w:numPr>
              <w:suppressLineNumbers w:val="0"/>
              <w:ind w:left="425" w:leftChars="0" w:hanging="425" w:firstLineChars="0"/>
              <w:jc w:val="right"/>
              <w:textAlignment w:val="center"/>
              <w:rPr>
                <w:rFonts w:hint="eastAsia" w:ascii="宋体" w:hAnsi="宋体" w:eastAsia="宋体" w:cs="宋体"/>
                <w:i w:val="0"/>
                <w:iCs w:val="0"/>
                <w:color w:val="000000"/>
                <w:kern w:val="0"/>
                <w:sz w:val="22"/>
                <w:szCs w:val="22"/>
                <w:u w:val="none"/>
                <w:lang w:val="en-US" w:eastAsia="zh-CN" w:bidi="ar"/>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ABC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省级</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B57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2023.9</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BC4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《新课标背景下小学数学综合实践活动设计研究》</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2182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肖喜萌</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8C8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《青少年书法报》</w:t>
            </w:r>
          </w:p>
        </w:tc>
      </w:tr>
      <w:tr w14:paraId="0BF4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EB5C3">
            <w:pPr>
              <w:keepNext w:val="0"/>
              <w:keepLines w:val="0"/>
              <w:widowControl/>
              <w:numPr>
                <w:ilvl w:val="0"/>
                <w:numId w:val="3"/>
              </w:numPr>
              <w:suppressLineNumbers w:val="0"/>
              <w:ind w:left="425" w:leftChars="0" w:hanging="425" w:firstLineChars="0"/>
              <w:jc w:val="right"/>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61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EA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D7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数学文化在小学数学教学中的应用策略</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288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冯婷婷</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C4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《向导》</w:t>
            </w:r>
          </w:p>
        </w:tc>
      </w:tr>
      <w:tr w14:paraId="484D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8911C">
            <w:pPr>
              <w:keepNext w:val="0"/>
              <w:keepLines w:val="0"/>
              <w:widowControl/>
              <w:numPr>
                <w:ilvl w:val="0"/>
                <w:numId w:val="3"/>
              </w:numPr>
              <w:suppressLineNumbers w:val="0"/>
              <w:ind w:left="425" w:leftChars="0" w:hanging="425" w:firstLineChars="0"/>
              <w:jc w:val="right"/>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4AA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省级</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FDE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2024.11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03C2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《聚焦小学数学新教材变化，丰富学生课堂活动内涵》</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D8DB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虞阮琳</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F11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《基础教育参考》</w:t>
            </w:r>
          </w:p>
        </w:tc>
      </w:tr>
      <w:tr w14:paraId="1A0D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C19E4">
            <w:pPr>
              <w:keepNext w:val="0"/>
              <w:keepLines w:val="0"/>
              <w:widowControl/>
              <w:numPr>
                <w:ilvl w:val="0"/>
                <w:numId w:val="3"/>
              </w:numPr>
              <w:suppressLineNumbers w:val="0"/>
              <w:ind w:left="425" w:leftChars="0" w:hanging="425" w:firstLineChars="0"/>
              <w:jc w:val="right"/>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DA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34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F6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基于结构化教学的小学数学复习课实践研究</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C75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虞阮琳</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43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《教育考试与评价》</w:t>
            </w:r>
          </w:p>
        </w:tc>
      </w:tr>
      <w:tr w14:paraId="4B2A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2393C">
            <w:pPr>
              <w:keepNext w:val="0"/>
              <w:keepLines w:val="0"/>
              <w:widowControl/>
              <w:numPr>
                <w:ilvl w:val="0"/>
                <w:numId w:val="3"/>
              </w:numPr>
              <w:suppressLineNumbers w:val="0"/>
              <w:ind w:left="425" w:leftChars="0" w:hanging="425" w:firstLineChars="0"/>
              <w:jc w:val="right"/>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96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75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2024.3</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A6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基于核心问题的数学项目化学习实践研究</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913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冯婷婷</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AA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《启迪与智慧》</w:t>
            </w:r>
          </w:p>
        </w:tc>
      </w:tr>
      <w:tr w14:paraId="09483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BFB1C">
            <w:pPr>
              <w:keepNext w:val="0"/>
              <w:keepLines w:val="0"/>
              <w:widowControl/>
              <w:numPr>
                <w:ilvl w:val="0"/>
                <w:numId w:val="3"/>
              </w:numPr>
              <w:suppressLineNumbers w:val="0"/>
              <w:ind w:left="425" w:leftChars="0" w:hanging="425" w:firstLineChars="0"/>
              <w:jc w:val="right"/>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F4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AC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2024.3</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9C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小学数学课堂中引入数学魔术的教学策略</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A95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冯婷婷</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CA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《读·写·算》</w:t>
            </w:r>
          </w:p>
        </w:tc>
      </w:tr>
      <w:tr w14:paraId="73A2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251EF">
            <w:pPr>
              <w:keepNext w:val="0"/>
              <w:keepLines w:val="0"/>
              <w:widowControl/>
              <w:numPr>
                <w:ilvl w:val="0"/>
                <w:numId w:val="3"/>
              </w:numPr>
              <w:suppressLineNumbers w:val="0"/>
              <w:ind w:left="425" w:leftChars="0" w:hanging="425" w:firstLineChars="0"/>
              <w:jc w:val="right"/>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0C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B0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2024.8</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4E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《深度学习视域下的单元教学任务设计与实践研究》</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7E2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肖喜萌</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5C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《向导》</w:t>
            </w:r>
          </w:p>
        </w:tc>
      </w:tr>
      <w:tr w14:paraId="12AD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7106D">
            <w:pPr>
              <w:keepNext w:val="0"/>
              <w:keepLines w:val="0"/>
              <w:widowControl/>
              <w:numPr>
                <w:ilvl w:val="0"/>
                <w:numId w:val="3"/>
              </w:numPr>
              <w:suppressLineNumbers w:val="0"/>
              <w:ind w:left="425" w:leftChars="0" w:hanging="425" w:firstLineChars="0"/>
              <w:jc w:val="right"/>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E1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B4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2024.3</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72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《读、做、理、创：小学数学作业的创新》</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5AA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施琦</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C7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《课程与教学》</w:t>
            </w:r>
          </w:p>
        </w:tc>
      </w:tr>
      <w:tr w14:paraId="59DC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92486">
            <w:pPr>
              <w:keepNext w:val="0"/>
              <w:keepLines w:val="0"/>
              <w:widowControl/>
              <w:numPr>
                <w:ilvl w:val="0"/>
                <w:numId w:val="3"/>
              </w:numPr>
              <w:suppressLineNumbers w:val="0"/>
              <w:ind w:left="425" w:leftChars="0" w:hanging="425" w:firstLineChars="0"/>
              <w:jc w:val="right"/>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46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AF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2024.8</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99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《小学数学深度学习的探究性作业》</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052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张思月</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17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《文理导航》</w:t>
            </w:r>
          </w:p>
        </w:tc>
      </w:tr>
      <w:tr w14:paraId="7099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DC98D">
            <w:pPr>
              <w:keepNext w:val="0"/>
              <w:keepLines w:val="0"/>
              <w:widowControl/>
              <w:numPr>
                <w:ilvl w:val="0"/>
                <w:numId w:val="3"/>
              </w:numPr>
              <w:suppressLineNumbers w:val="0"/>
              <w:ind w:left="425" w:leftChars="0" w:hanging="425" w:firstLineChars="0"/>
              <w:jc w:val="right"/>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1E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7F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2024.7</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D3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《核心素养视角下的小学数学探究性作业实践研讨》</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863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张思月</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5D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《教学与研究》</w:t>
            </w:r>
          </w:p>
        </w:tc>
      </w:tr>
      <w:tr w14:paraId="0B13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E7B51">
            <w:pPr>
              <w:keepNext w:val="0"/>
              <w:keepLines w:val="0"/>
              <w:widowControl/>
              <w:numPr>
                <w:ilvl w:val="0"/>
                <w:numId w:val="3"/>
              </w:numPr>
              <w:suppressLineNumbers w:val="0"/>
              <w:ind w:left="425" w:leftChars="0" w:hanging="425" w:firstLineChars="0"/>
              <w:jc w:val="right"/>
              <w:textAlignment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89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C1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2024.5</w:t>
            </w:r>
          </w:p>
        </w:tc>
        <w:tc>
          <w:tcPr>
            <w:tcW w:w="3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283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《“双减”背景下小学数学探究性作业设计》</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088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张思月</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80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《中小学教育》</w:t>
            </w:r>
          </w:p>
        </w:tc>
      </w:tr>
    </w:tbl>
    <w:p w14:paraId="09B56010">
      <w:pPr>
        <w:rPr>
          <w:rFonts w:hint="eastAsia"/>
          <w:sz w:val="24"/>
          <w:szCs w:val="32"/>
          <w:lang w:val="en-US" w:eastAsia="zh-CN"/>
        </w:rPr>
      </w:pPr>
    </w:p>
    <w:p w14:paraId="5614CD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lang w:val="en-US" w:eastAsia="zh-CN"/>
        </w:rPr>
      </w:pPr>
    </w:p>
    <w:p w14:paraId="3ADB8D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377FA5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1D59F43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32"/>
        </w:rPr>
      </w:pPr>
      <w:r>
        <w:rPr>
          <w:rFonts w:hint="eastAsia"/>
          <w:b/>
          <w:bCs/>
          <w:sz w:val="24"/>
          <w:szCs w:val="32"/>
        </w:rPr>
        <w:t>附录</w:t>
      </w:r>
      <w:r>
        <w:rPr>
          <w:rFonts w:hint="eastAsia"/>
          <w:b/>
          <w:bCs/>
          <w:sz w:val="24"/>
          <w:szCs w:val="32"/>
          <w:lang w:val="en-US" w:eastAsia="zh-CN"/>
        </w:rPr>
        <w:t>2</w:t>
      </w:r>
      <w:r>
        <w:rPr>
          <w:rFonts w:hint="eastAsia"/>
          <w:b/>
          <w:bCs/>
          <w:sz w:val="24"/>
          <w:szCs w:val="32"/>
        </w:rPr>
        <w:t>：深度学习导向下小学数学学习任务设计与实施研究调查问卷</w:t>
      </w:r>
    </w:p>
    <w:p w14:paraId="3BF56341">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right"/>
        <w:textAlignment w:val="auto"/>
        <w:rPr>
          <w:rFonts w:hint="eastAsia"/>
          <w:sz w:val="24"/>
          <w:szCs w:val="32"/>
        </w:rPr>
      </w:pPr>
      <w:r>
        <w:rPr>
          <w:rFonts w:hint="eastAsia"/>
          <w:b/>
          <w:bCs/>
          <w:sz w:val="32"/>
          <w:szCs w:val="40"/>
        </w:rPr>
        <w:t>《深度学习导向下小学数学学习任务设计与实施研究》调查问卷</w:t>
      </w:r>
      <w:r>
        <w:rPr>
          <w:rFonts w:hint="eastAsia"/>
          <w:sz w:val="24"/>
          <w:szCs w:val="32"/>
        </w:rPr>
        <w:t>（教师卷）</w:t>
      </w:r>
    </w:p>
    <w:p w14:paraId="229D30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您好！为深入了解深度学习导向下小学数学学习任务设计与实施的现状，推动教学研究与实践改进，特开展本次调查。问卷数据仅用于研究分析，请您根据实际情况如实填写，感谢您的支持与配合！</w:t>
      </w:r>
    </w:p>
    <w:p w14:paraId="793C2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一、基本信息</w:t>
      </w:r>
    </w:p>
    <w:p w14:paraId="4B1882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您的教龄：</w:t>
      </w:r>
    </w:p>
    <w:p w14:paraId="115E1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□5年及以下□6-10年□11-20年□21年及以上</w:t>
      </w:r>
    </w:p>
    <w:p w14:paraId="3BC573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您所在的学校学段：</w:t>
      </w:r>
    </w:p>
    <w:p w14:paraId="12C473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□小学低年级（1-2年级）□小学中年级（3-4年级）□小学高年级（5-6年级）</w:t>
      </w:r>
    </w:p>
    <w:p w14:paraId="2D9E1E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您参与过深度学习相关教学培训吗？</w:t>
      </w:r>
    </w:p>
    <w:p w14:paraId="4AC46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□从未参与□1-2次□3-5次□6次及以上</w:t>
      </w:r>
    </w:p>
    <w:p w14:paraId="44DEDD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1.</w:t>
      </w:r>
      <w:r>
        <w:rPr>
          <w:rFonts w:hint="eastAsia"/>
          <w:sz w:val="24"/>
          <w:szCs w:val="32"/>
        </w:rPr>
        <w:t>您认为深度学习导向下的小学数学学习任务，与传统任务最主要区别是（可多选）：</w:t>
      </w:r>
    </w:p>
    <w:p w14:paraId="5A10C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□聚焦知识理解与深度探究□强调学生主动建构知识</w:t>
      </w:r>
    </w:p>
    <w:p w14:paraId="421532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□注重思维进阶与素养发展□任务更复杂、耗时更长</w:t>
      </w:r>
    </w:p>
    <w:p w14:paraId="1E545F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□其他（请说明）：________</w:t>
      </w:r>
    </w:p>
    <w:p w14:paraId="7FF5B2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2.</w:t>
      </w:r>
      <w:r>
        <w:rPr>
          <w:rFonts w:hint="eastAsia"/>
          <w:sz w:val="24"/>
          <w:szCs w:val="32"/>
        </w:rPr>
        <w:t>您在设计数学学习任务时，会优先考虑对接哪个深度学习要素？</w:t>
      </w:r>
    </w:p>
    <w:p w14:paraId="0839C8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□激活学生前备知识□引发认知冲突与探究欲</w:t>
      </w:r>
    </w:p>
    <w:p w14:paraId="5C1B06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□搭建思维进阶支架□促进知识迁移与应用</w:t>
      </w:r>
    </w:p>
    <w:p w14:paraId="6DFB9E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□关注学习过程评价□其他（请说明）：________</w:t>
      </w:r>
    </w:p>
    <w:p w14:paraId="4DAC3F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3.</w:t>
      </w:r>
      <w:r>
        <w:rPr>
          <w:rFonts w:hint="eastAsia"/>
          <w:sz w:val="24"/>
          <w:szCs w:val="32"/>
        </w:rPr>
        <w:t>学习任务设计实践</w:t>
      </w:r>
    </w:p>
    <w:p w14:paraId="41FD35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您设计小学数学学习任务的主要依据是（可多选）：</w:t>
      </w:r>
    </w:p>
    <w:p w14:paraId="6243D5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□课程标准要求□教材知识体系</w:t>
      </w:r>
    </w:p>
    <w:p w14:paraId="5CD958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□学生认知水平□教学进度安排</w:t>
      </w:r>
    </w:p>
    <w:p w14:paraId="45025A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□深度学习理论□其他（请说明）：________</w:t>
      </w:r>
    </w:p>
    <w:p w14:paraId="385BA1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4.</w:t>
      </w:r>
      <w:r>
        <w:rPr>
          <w:rFonts w:hint="eastAsia"/>
          <w:sz w:val="24"/>
          <w:szCs w:val="32"/>
        </w:rPr>
        <w:t>您常用的学习任务类型有（可多选，可结合举例说明，如“知识探究型：设计三角形内角和验证任务”）：</w:t>
      </w:r>
    </w:p>
    <w:p w14:paraId="4C092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□知识探究型□生活应用型</w:t>
      </w:r>
    </w:p>
    <w:p w14:paraId="52D638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□创新拓展型□复习巩固型</w:t>
      </w:r>
    </w:p>
    <w:p w14:paraId="0B1CE3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□其他（请说明）：________</w:t>
      </w:r>
    </w:p>
    <w:p w14:paraId="2078C0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5.</w:t>
      </w:r>
      <w:r>
        <w:rPr>
          <w:rFonts w:hint="eastAsia"/>
          <w:sz w:val="24"/>
          <w:szCs w:val="32"/>
        </w:rPr>
        <w:t>在设计任务时，您会为不同学习风格学生（如视觉型、动觉型）提供差异化支持吗？</w:t>
      </w:r>
    </w:p>
    <w:p w14:paraId="27589A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□总是会，针对性设计□偶尔会，简单调整</w:t>
      </w:r>
    </w:p>
    <w:p w14:paraId="6E2154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□很少会，按统一要求□不会，没考虑过</w:t>
      </w:r>
    </w:p>
    <w:p w14:paraId="27024A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6.</w:t>
      </w:r>
      <w:r>
        <w:rPr>
          <w:rFonts w:hint="eastAsia"/>
          <w:sz w:val="24"/>
          <w:szCs w:val="32"/>
        </w:rPr>
        <w:t>您觉得设计深度学习导向的数学任务，最大难点是（可多选）：</w:t>
      </w:r>
    </w:p>
    <w:p w14:paraId="27C9BA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□把握深度学习理念与课标衔接□挖掘适配深度学习的教学内容</w:t>
      </w:r>
    </w:p>
    <w:p w14:paraId="40C2C7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□设计有思维进阶的任务活动□平衡任务开放性与教学时间</w:t>
      </w:r>
    </w:p>
    <w:p w14:paraId="5DF35A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□缺乏优质案例参考□其他（请说明）：________</w:t>
      </w:r>
    </w:p>
    <w:p w14:paraId="5807E1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7.</w:t>
      </w:r>
      <w:r>
        <w:rPr>
          <w:rFonts w:hint="eastAsia"/>
          <w:sz w:val="24"/>
          <w:szCs w:val="32"/>
        </w:rPr>
        <w:t>实施学习任务时，您会采用哪些组织形式（可多选）：</w:t>
      </w:r>
    </w:p>
    <w:p w14:paraId="661BDF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□个人独立完成□小组合作探究</w:t>
      </w:r>
    </w:p>
    <w:p w14:paraId="2DDEA1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□全班集体研讨□线上线下结合</w:t>
      </w:r>
    </w:p>
    <w:p w14:paraId="2B9CE0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□其他（请说明）：________</w:t>
      </w:r>
    </w:p>
    <w:p w14:paraId="310871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8.</w:t>
      </w:r>
      <w:r>
        <w:rPr>
          <w:rFonts w:hint="eastAsia"/>
          <w:sz w:val="24"/>
          <w:szCs w:val="32"/>
        </w:rPr>
        <w:t>当学生在任务中遇到困难（如思维卡壳、方法不会），您通常会：</w:t>
      </w:r>
    </w:p>
    <w:p w14:paraId="1AE096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□直接告知解决方案□提示关键知识或思路</w:t>
      </w:r>
    </w:p>
    <w:p w14:paraId="70CE42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□引导同伴互助解决□创设新情境启发思考</w:t>
      </w:r>
    </w:p>
    <w:p w14:paraId="418D06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□其他（请说明）：________</w:t>
      </w:r>
    </w:p>
    <w:p w14:paraId="7DF3B4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9.</w:t>
      </w:r>
      <w:r>
        <w:rPr>
          <w:rFonts w:hint="eastAsia"/>
          <w:sz w:val="24"/>
          <w:szCs w:val="32"/>
        </w:rPr>
        <w:t>您会针对学习任务实施过程，开展过程性评价吗？</w:t>
      </w:r>
    </w:p>
    <w:p w14:paraId="371BCB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□每次都有，系统设计评价□经常有，简单观察记录</w:t>
      </w:r>
    </w:p>
    <w:p w14:paraId="2DB71D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□偶尔有，凭经验判断□几乎没有，关注结果</w:t>
      </w:r>
    </w:p>
    <w:p w14:paraId="4C4D26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10.</w:t>
      </w:r>
      <w:r>
        <w:rPr>
          <w:rFonts w:hint="eastAsia"/>
          <w:sz w:val="24"/>
          <w:szCs w:val="32"/>
        </w:rPr>
        <w:t>实施后，您觉得学生在哪些方面变化较明显（可多选）：</w:t>
      </w:r>
    </w:p>
    <w:p w14:paraId="3594A9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□知识掌握更扎实□主动思考意识增强</w:t>
      </w:r>
    </w:p>
    <w:p w14:paraId="6A4461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□合作交流能力提升□解决实际问题更灵活</w:t>
      </w:r>
    </w:p>
    <w:p w14:paraId="4A7A3B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□创新思维有表现□没明显变化</w:t>
      </w:r>
    </w:p>
    <w:p w14:paraId="267BBB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□其他（请说明）：________</w:t>
      </w:r>
    </w:p>
    <w:p w14:paraId="7DD9F7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11.</w:t>
      </w:r>
      <w:r>
        <w:rPr>
          <w:rFonts w:hint="eastAsia"/>
          <w:sz w:val="24"/>
          <w:szCs w:val="32"/>
        </w:rPr>
        <w:t>您希望在深度学习任务设计与实施方面，获得哪些支持（可多选）：</w:t>
      </w:r>
    </w:p>
    <w:p w14:paraId="4AB60A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□系统的理论与实践培训□优质任务设计案例库</w:t>
      </w:r>
    </w:p>
    <w:p w14:paraId="5521F2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□专家一对一指导□同侪备课研讨交流</w:t>
      </w:r>
    </w:p>
    <w:p w14:paraId="0DD0B8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□数字化工具辅助设计□其他（请说明）：________</w:t>
      </w:r>
    </w:p>
    <w:p w14:paraId="123AD0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12</w:t>
      </w:r>
      <w:r>
        <w:rPr>
          <w:rFonts w:hint="eastAsia"/>
          <w:sz w:val="24"/>
          <w:szCs w:val="32"/>
        </w:rPr>
        <w:t>对于推进深度学习导向的小学数学学习任务教学，您有哪些建议或想法？</w:t>
      </w:r>
    </w:p>
    <w:p w14:paraId="580048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再次感谢您抽出宝贵时间参与调查！</w:t>
      </w:r>
    </w:p>
    <w:p w14:paraId="63C352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32"/>
          <w:szCs w:val="40"/>
        </w:rPr>
      </w:pPr>
      <w:r>
        <w:rPr>
          <w:rFonts w:hint="eastAsia"/>
          <w:b/>
          <w:bCs/>
          <w:sz w:val="32"/>
          <w:szCs w:val="40"/>
        </w:rPr>
        <w:t>《深度学习导向下小学数学学习任务设计与实施研究》调查问卷</w:t>
      </w:r>
    </w:p>
    <w:p w14:paraId="7D8BC62D">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sz w:val="24"/>
          <w:szCs w:val="32"/>
        </w:rPr>
      </w:pPr>
      <w:r>
        <w:rPr>
          <w:rFonts w:hint="eastAsia"/>
          <w:sz w:val="24"/>
          <w:szCs w:val="32"/>
        </w:rPr>
        <w:t>（学生卷）</w:t>
      </w:r>
    </w:p>
    <w:p w14:paraId="52B78F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你好！这是一份关于小学数学学习任务的小调查，想了解你在数学学习中的真实感受。答案没有对错，请根据实际情况选择或填写，谢谢你的参与！</w:t>
      </w:r>
    </w:p>
    <w:p w14:paraId="579B9D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一、基本信息</w:t>
      </w:r>
    </w:p>
    <w:p w14:paraId="3A409D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你所在的年级：</w:t>
      </w:r>
      <w:r>
        <w:rPr>
          <w:rFonts w:hint="eastAsia"/>
          <w:sz w:val="24"/>
          <w:szCs w:val="32"/>
          <w:lang w:val="en-US" w:eastAsia="zh-CN"/>
        </w:rPr>
        <w:t xml:space="preserve"> </w:t>
      </w:r>
      <w:r>
        <w:rPr>
          <w:rFonts w:hint="eastAsia"/>
          <w:sz w:val="24"/>
          <w:szCs w:val="32"/>
        </w:rPr>
        <w:t>□一年级□二年级□三年级□四年级□五年级□六年级</w:t>
      </w:r>
    </w:p>
    <w:p w14:paraId="28EADA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1.</w:t>
      </w:r>
      <w:r>
        <w:rPr>
          <w:rFonts w:hint="eastAsia"/>
          <w:sz w:val="24"/>
          <w:szCs w:val="32"/>
        </w:rPr>
        <w:t>你觉得自己数学学得怎么样？</w:t>
      </w:r>
    </w:p>
    <w:p w14:paraId="078FC8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□很轻松，学得好□还可以，能跟上</w:t>
      </w:r>
    </w:p>
    <w:p w14:paraId="07F877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□有点难，偶尔吃力□不太好，经常不懂</w:t>
      </w:r>
    </w:p>
    <w:p w14:paraId="0B4ED6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2.</w:t>
      </w:r>
      <w:r>
        <w:rPr>
          <w:rFonts w:hint="eastAsia"/>
          <w:sz w:val="24"/>
          <w:szCs w:val="32"/>
        </w:rPr>
        <w:t>数学学习中，你喜欢什么样的学习任务？（可多选）</w:t>
      </w:r>
    </w:p>
    <w:p w14:paraId="3D47B0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□动手做实验、操作学具的任务（如用小棒拼图形）</w:t>
      </w:r>
    </w:p>
    <w:p w14:paraId="7950C2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□解决生活里问题的任务（如购物算账、设计路线）</w:t>
      </w:r>
    </w:p>
    <w:p w14:paraId="680F1B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□探究数学道理的任务（如为什么三角形内角和是180度）</w:t>
      </w:r>
    </w:p>
    <w:p w14:paraId="584889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□创意设计类任务（如用图形设计漂亮图案）</w:t>
      </w:r>
    </w:p>
    <w:p w14:paraId="5E1DBA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□做练习题、巩固知识的任务</w:t>
      </w:r>
    </w:p>
    <w:p w14:paraId="78B492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□其他（请说明）：________</w:t>
      </w:r>
    </w:p>
    <w:p w14:paraId="558212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3.</w:t>
      </w:r>
      <w:r>
        <w:rPr>
          <w:rFonts w:hint="eastAsia"/>
          <w:sz w:val="24"/>
          <w:szCs w:val="32"/>
        </w:rPr>
        <w:t>遇到有挑战性的数学任务（不太容易做出来），你会：</w:t>
      </w:r>
    </w:p>
    <w:p w14:paraId="76C35E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□放弃，等老师讲□自己再想想，试试不同方法</w:t>
      </w:r>
    </w:p>
    <w:p w14:paraId="411988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□找同学一起讨论□其他（请说明）：________</w:t>
      </w:r>
    </w:p>
    <w:p w14:paraId="2501E4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4.</w:t>
      </w:r>
      <w:r>
        <w:rPr>
          <w:rFonts w:hint="eastAsia"/>
          <w:sz w:val="24"/>
          <w:szCs w:val="32"/>
        </w:rPr>
        <w:t>完成数学任务后，你通常：</w:t>
      </w:r>
    </w:p>
    <w:p w14:paraId="658DC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□知道自己学会了什么□不清楚学了啥，做完就行</w:t>
      </w:r>
    </w:p>
    <w:p w14:paraId="2C9012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□觉得有收获，想再挑战□觉得没意思，不想做了</w:t>
      </w:r>
    </w:p>
    <w:p w14:paraId="0B632B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5.</w:t>
      </w:r>
      <w:r>
        <w:rPr>
          <w:rFonts w:hint="eastAsia"/>
          <w:sz w:val="24"/>
          <w:szCs w:val="32"/>
        </w:rPr>
        <w:t>课堂上做数学任务时，老师会让你们：</w:t>
      </w:r>
    </w:p>
    <w:p w14:paraId="4597C5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□自己单独做□和小组同学一起做</w:t>
      </w:r>
    </w:p>
    <w:p w14:paraId="6E6120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□全班一起讨论□其他（请说明）：________</w:t>
      </w:r>
    </w:p>
    <w:p w14:paraId="2E304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6.</w:t>
      </w:r>
      <w:r>
        <w:rPr>
          <w:rFonts w:hint="eastAsia"/>
          <w:sz w:val="24"/>
          <w:szCs w:val="32"/>
        </w:rPr>
        <w:t>做任务时，老师会帮助遇到困难的同学吗？</w:t>
      </w:r>
    </w:p>
    <w:p w14:paraId="3AAD46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□总是会，教方法□有时候会，提醒一下</w:t>
      </w:r>
      <w:r>
        <w:rPr>
          <w:rFonts w:hint="eastAsia"/>
          <w:sz w:val="24"/>
          <w:szCs w:val="32"/>
          <w:lang w:val="en-US" w:eastAsia="zh-CN"/>
        </w:rPr>
        <w:t xml:space="preserve">  </w:t>
      </w:r>
      <w:r>
        <w:rPr>
          <w:rFonts w:hint="eastAsia"/>
          <w:sz w:val="24"/>
          <w:szCs w:val="32"/>
        </w:rPr>
        <w:t>□很少会，让自己想□不会，不管</w:t>
      </w:r>
    </w:p>
    <w:p w14:paraId="5A95DE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7.</w:t>
      </w:r>
      <w:r>
        <w:rPr>
          <w:rFonts w:hint="eastAsia"/>
          <w:sz w:val="24"/>
          <w:szCs w:val="32"/>
        </w:rPr>
        <w:t>你觉得数学任务和生活联系紧密吗？</w:t>
      </w:r>
    </w:p>
    <w:p w14:paraId="1AC645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□联系特别大，能解决生活事□有一些联系，偶尔用到</w:t>
      </w:r>
    </w:p>
    <w:p w14:paraId="33C93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□没联系，就是做题□不清楚</w:t>
      </w:r>
    </w:p>
    <w:p w14:paraId="519E6C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8.</w:t>
      </w:r>
      <w:r>
        <w:rPr>
          <w:rFonts w:hint="eastAsia"/>
          <w:sz w:val="24"/>
          <w:szCs w:val="32"/>
        </w:rPr>
        <w:t>完成任务后，老师会怎么评价？</w:t>
      </w:r>
    </w:p>
    <w:p w14:paraId="2003F7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□表扬做得好的地方，说改进点□只说对或错</w:t>
      </w:r>
    </w:p>
    <w:p w14:paraId="29F222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□很少评价，直接讲答案□其他（请说明）：________</w:t>
      </w:r>
    </w:p>
    <w:p w14:paraId="3FE160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9.</w:t>
      </w:r>
      <w:r>
        <w:rPr>
          <w:rFonts w:hint="eastAsia"/>
          <w:sz w:val="24"/>
          <w:szCs w:val="32"/>
        </w:rPr>
        <w:t>你希望数学任务有哪些变化？（比如更有趣、更简单或更难）</w:t>
      </w:r>
    </w:p>
    <w:p w14:paraId="2BCEC4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763064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sz w:val="24"/>
          <w:szCs w:val="32"/>
          <w:lang w:val="en-US" w:eastAsia="zh-CN"/>
        </w:rPr>
        <w:t>10.</w:t>
      </w:r>
      <w:r>
        <w:rPr>
          <w:rFonts w:hint="eastAsia"/>
          <w:sz w:val="24"/>
          <w:szCs w:val="32"/>
        </w:rPr>
        <w:t>对于数学学习任务，你还有什么想说的？</w:t>
      </w:r>
    </w:p>
    <w:p w14:paraId="03D41BBA">
      <w:pPr>
        <w:tabs>
          <w:tab w:val="left" w:pos="691"/>
        </w:tabs>
        <w:bidi w:val="0"/>
        <w:jc w:val="left"/>
        <w:rPr>
          <w:rFonts w:hint="eastAsia"/>
          <w:lang w:val="en-US" w:eastAsia="zh-CN"/>
        </w:rPr>
        <w:sectPr>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p>
    <w:p w14:paraId="6E8B26EF">
      <w:pPr>
        <w:tabs>
          <w:tab w:val="left" w:pos="691"/>
        </w:tabs>
        <w:bidi w:val="0"/>
        <w:jc w:val="left"/>
        <w:rPr>
          <w:rFonts w:hint="eastAsia"/>
          <w:lang w:val="en-US" w:eastAsia="zh-CN"/>
        </w:rPr>
      </w:pPr>
    </w:p>
    <w:p w14:paraId="487A28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Theme="minorEastAsia"/>
          <w:b/>
          <w:bCs/>
          <w:sz w:val="24"/>
          <w:szCs w:val="32"/>
          <w:lang w:eastAsia="zh-CN"/>
        </w:rPr>
      </w:pPr>
      <w:r>
        <w:rPr>
          <w:rFonts w:hint="eastAsia"/>
          <w:b/>
          <w:bCs/>
          <w:sz w:val="24"/>
          <w:szCs w:val="32"/>
        </w:rPr>
        <w:t>附录</w:t>
      </w:r>
      <w:r>
        <w:rPr>
          <w:rFonts w:hint="eastAsia"/>
          <w:b/>
          <w:bCs/>
          <w:sz w:val="24"/>
          <w:szCs w:val="32"/>
          <w:lang w:val="en-US" w:eastAsia="zh-CN"/>
        </w:rPr>
        <w:t>3</w:t>
      </w:r>
      <w:bookmarkStart w:id="0" w:name="_GoBack"/>
      <w:bookmarkEnd w:id="0"/>
      <w:r>
        <w:rPr>
          <w:rFonts w:hint="eastAsia"/>
          <w:b/>
          <w:bCs/>
          <w:sz w:val="24"/>
          <w:szCs w:val="32"/>
        </w:rPr>
        <w:t>：深度学习导向下小学数学学习任务案例清单</w:t>
      </w:r>
      <w:r>
        <w:rPr>
          <w:rFonts w:hint="eastAsia"/>
          <w:b/>
          <w:bCs/>
          <w:sz w:val="24"/>
          <w:szCs w:val="32"/>
          <w:lang w:eastAsia="zh-CN"/>
        </w:rPr>
        <w:t>（</w:t>
      </w:r>
      <w:r>
        <w:rPr>
          <w:rFonts w:hint="eastAsia"/>
          <w:b/>
          <w:bCs/>
          <w:sz w:val="24"/>
          <w:szCs w:val="32"/>
          <w:lang w:val="en-US" w:eastAsia="zh-CN"/>
        </w:rPr>
        <w:t>部分</w:t>
      </w:r>
      <w:r>
        <w:rPr>
          <w:rFonts w:hint="eastAsia"/>
          <w:b/>
          <w:bCs/>
          <w:sz w:val="24"/>
          <w:szCs w:val="32"/>
          <w:lang w:eastAsia="zh-CN"/>
        </w:rPr>
        <w:t>）</w:t>
      </w:r>
    </w:p>
    <w:p w14:paraId="2AD76C6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Theme="minorEastAsia"/>
          <w:b/>
          <w:bCs/>
          <w:sz w:val="24"/>
          <w:szCs w:val="32"/>
          <w:lang w:val="en-US" w:eastAsia="zh-CN"/>
        </w:rPr>
      </w:pPr>
      <w:r>
        <w:rPr>
          <w:rFonts w:hint="eastAsia"/>
          <w:b/>
          <w:bCs/>
          <w:sz w:val="24"/>
          <w:szCs w:val="32"/>
          <w:lang w:val="en-US" w:eastAsia="zh-CN"/>
        </w:rPr>
        <w:t>课例1：苏教版三年级上册：《解决问题的策略——从条件出发》顾鹏飞老师执教</w:t>
      </w:r>
    </w:p>
    <w:tbl>
      <w:tblPr>
        <w:tblStyle w:val="5"/>
        <w:tblW w:w="15172"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793"/>
        <w:gridCol w:w="2503"/>
        <w:gridCol w:w="5904"/>
        <w:gridCol w:w="756"/>
        <w:gridCol w:w="1533"/>
        <w:gridCol w:w="1570"/>
        <w:gridCol w:w="1400"/>
      </w:tblGrid>
      <w:tr w14:paraId="08DEE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B1C73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课例名称</w:t>
            </w:r>
          </w:p>
        </w:tc>
        <w:tc>
          <w:tcPr>
            <w:tcW w:w="793"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9B10A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任务序列</w:t>
            </w:r>
          </w:p>
        </w:tc>
        <w:tc>
          <w:tcPr>
            <w:tcW w:w="2503"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43011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任务内容</w:t>
            </w:r>
          </w:p>
        </w:tc>
        <w:tc>
          <w:tcPr>
            <w:tcW w:w="5904"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B1124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任务设计意图</w:t>
            </w:r>
          </w:p>
        </w:tc>
        <w:tc>
          <w:tcPr>
            <w:tcW w:w="75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EB0956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评价</w:t>
            </w:r>
          </w:p>
          <w:p w14:paraId="1C9A22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维度</w:t>
            </w:r>
          </w:p>
        </w:tc>
        <w:tc>
          <w:tcPr>
            <w:tcW w:w="1533"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70C3D8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水平1</w:t>
            </w:r>
          </w:p>
          <w:p w14:paraId="031E30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（初步参与）</w:t>
            </w:r>
          </w:p>
        </w:tc>
        <w:tc>
          <w:tcPr>
            <w:tcW w:w="157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E162B3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水平2</w:t>
            </w:r>
          </w:p>
          <w:p w14:paraId="6513D7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（基本掌握）</w:t>
            </w:r>
          </w:p>
        </w:tc>
        <w:tc>
          <w:tcPr>
            <w:tcW w:w="140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63F28A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水平3</w:t>
            </w:r>
          </w:p>
          <w:p w14:paraId="202450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（深度理解）</w:t>
            </w:r>
          </w:p>
        </w:tc>
      </w:tr>
      <w:tr w14:paraId="5D2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7" w:hRule="atLeast"/>
        </w:trPr>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2D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解决问题的策略——从条件出发</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2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任务一：理一理</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D5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小猴帮妈妈摘桃，第一天摘了30个，以后每天都比前一天多摘5个。小猴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第三天摘了多少个?第五天呢?你能用别人看得懂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的方式表示出第二个条件的意思吗?</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top"/>
          </w:tcPr>
          <w:p w14:paraId="748D9CC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小猴摘桃”为生活化情境，聚焦“每天比前一天多摘5个”这一关键条件，让学生在解决“第三天、第五天摘桃数量”问题中，尝试用画图、列表、文字描述等“别人看得懂的方式”表征条件含义。一方面，强化条件理解：通过具象化表征，破解“连续变化条件”的抽象性，让学生明确“后一天摘桃数=前一天摘桃数+5”的数量关系，掌握“从条件出发，逐步推导”的解题起点。另一方面，构建思维路径：引导学生经历“提取条件→分析关系→分步计算”的过程，初步建立“从条件出发解决问题”的思维模型，为后续任务奠定基础。</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ACEA1">
            <w:pPr>
              <w:keepNext w:val="0"/>
              <w:keepLines w:val="0"/>
              <w:widowControl/>
              <w:suppressLineNumbers w:val="0"/>
              <w:jc w:val="center"/>
              <w:textAlignment w:val="center"/>
              <w:rPr>
                <w:rFonts w:hint="default" w:ascii="Segoe UI" w:hAnsi="Segoe UI" w:eastAsia="Segoe UI" w:cs="Segoe UI"/>
                <w:i w:val="0"/>
                <w:iCs w:val="0"/>
                <w:color w:val="000000"/>
                <w:kern w:val="0"/>
                <w:sz w:val="20"/>
                <w:szCs w:val="20"/>
                <w:u w:val="none"/>
                <w:lang w:val="en-US" w:eastAsia="zh-CN" w:bidi="ar"/>
              </w:rPr>
            </w:pPr>
            <w:r>
              <w:rPr>
                <w:rFonts w:hint="default" w:ascii="Segoe UI" w:hAnsi="Segoe UI" w:eastAsia="Segoe UI" w:cs="Segoe UI"/>
                <w:i w:val="0"/>
                <w:iCs w:val="0"/>
                <w:color w:val="000000"/>
                <w:kern w:val="0"/>
                <w:sz w:val="20"/>
                <w:szCs w:val="20"/>
                <w:u w:val="none"/>
                <w:lang w:val="en-US" w:eastAsia="zh-CN" w:bidi="ar"/>
              </w:rPr>
              <w:t>条件</w:t>
            </w:r>
          </w:p>
          <w:p w14:paraId="63D5A7ED">
            <w:pPr>
              <w:keepNext w:val="0"/>
              <w:keepLines w:val="0"/>
              <w:widowControl/>
              <w:suppressLineNumbers w:val="0"/>
              <w:jc w:val="center"/>
              <w:textAlignment w:val="center"/>
              <w:rPr>
                <w:rFonts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表征</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7CFB2">
            <w:pPr>
              <w:keepNext w:val="0"/>
              <w:keepLines w:val="0"/>
              <w:widowControl/>
              <w:suppressLineNumbers w:val="0"/>
              <w:jc w:val="left"/>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能用文字简单描述“每天多摘5个”，但表述模糊，他人难理解</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8C44C">
            <w:pPr>
              <w:keepNext w:val="0"/>
              <w:keepLines w:val="0"/>
              <w:widowControl/>
              <w:suppressLineNumbers w:val="0"/>
              <w:jc w:val="left"/>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能用画图/列表清晰呈现数量关系，准确解释“后一天=前一天+5”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53BEE">
            <w:pPr>
              <w:keepNext w:val="0"/>
              <w:keepLines w:val="0"/>
              <w:widowControl/>
              <w:suppressLineNumbers w:val="0"/>
              <w:jc w:val="left"/>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创新表征方式（如漫画、数学故事），关联生活实例深化条件理解</w:t>
            </w:r>
          </w:p>
        </w:tc>
      </w:tr>
      <w:tr w14:paraId="43E2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DDD0C">
            <w:pPr>
              <w:jc w:val="center"/>
              <w:rPr>
                <w:rFonts w:hint="eastAsia" w:ascii="宋体" w:hAnsi="宋体" w:eastAsia="宋体" w:cs="宋体"/>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B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任务二：变一变</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DE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改变第二个条件，使条件和问题关系改变。小猴帮妈妈摘桃，第一天摘了30个，以后。小猴第三天摘了多少个?第五天呢?</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top"/>
          </w:tcPr>
          <w:p w14:paraId="17F893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迫使学生跳出“固定增量”的思维惯性，自主设计新条件（如倍数关系、总量关系等），重新分析数量关系，灵活调整解题策略。迁移强化：通过“改变条件→重构关系→解决问题”的过程，强化“从条件出发”的核心逻辑——无论条件如何变化，都需先梳理条件间的关联，再推导结果，提升学生对解题模型的迁移应用能力。</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49886">
            <w:pPr>
              <w:keepNext w:val="0"/>
              <w:keepLines w:val="0"/>
              <w:widowControl/>
              <w:suppressLineNumbers w:val="0"/>
              <w:jc w:val="center"/>
              <w:textAlignment w:val="center"/>
              <w:rPr>
                <w:rFonts w:hint="default" w:ascii="Segoe UI" w:hAnsi="Segoe UI" w:eastAsia="Segoe UI" w:cs="Segoe UI"/>
                <w:i w:val="0"/>
                <w:iCs w:val="0"/>
                <w:color w:val="000000"/>
                <w:kern w:val="0"/>
                <w:sz w:val="20"/>
                <w:szCs w:val="20"/>
                <w:u w:val="none"/>
                <w:lang w:val="en-US" w:eastAsia="zh-CN" w:bidi="ar"/>
              </w:rPr>
            </w:pPr>
            <w:r>
              <w:rPr>
                <w:rFonts w:hint="default" w:ascii="Segoe UI" w:hAnsi="Segoe UI" w:eastAsia="Segoe UI" w:cs="Segoe UI"/>
                <w:i w:val="0"/>
                <w:iCs w:val="0"/>
                <w:color w:val="000000"/>
                <w:kern w:val="0"/>
                <w:sz w:val="20"/>
                <w:szCs w:val="20"/>
                <w:u w:val="none"/>
                <w:lang w:val="en-US" w:eastAsia="zh-CN" w:bidi="ar"/>
              </w:rPr>
              <w:t>条件</w:t>
            </w:r>
          </w:p>
          <w:p w14:paraId="24F122EF">
            <w:pPr>
              <w:keepNext w:val="0"/>
              <w:keepLines w:val="0"/>
              <w:widowControl/>
              <w:suppressLineNumbers w:val="0"/>
              <w:jc w:val="center"/>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改编</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088E0">
            <w:pPr>
              <w:keepNext w:val="0"/>
              <w:keepLines w:val="0"/>
              <w:widowControl/>
              <w:suppressLineNumbers w:val="0"/>
              <w:jc w:val="left"/>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新条件仅简单替换（如“多摘3个”），数量关系无本质变化</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8531D">
            <w:pPr>
              <w:keepNext w:val="0"/>
              <w:keepLines w:val="0"/>
              <w:widowControl/>
              <w:suppressLineNumbers w:val="0"/>
              <w:jc w:val="left"/>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设计倍数、总量等复杂关系条件（如“后一天是前一天2倍”），合理关联问题</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D704C">
            <w:pPr>
              <w:keepNext w:val="0"/>
              <w:keepLines w:val="0"/>
              <w:widowControl/>
              <w:suppressLineNumbers w:val="0"/>
              <w:jc w:val="left"/>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创造跨学科条件（结合科学“生长规律”设定条件），体现知识融合</w:t>
            </w:r>
          </w:p>
        </w:tc>
      </w:tr>
      <w:tr w14:paraId="53891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0CEE1">
            <w:pPr>
              <w:jc w:val="center"/>
              <w:rPr>
                <w:rFonts w:hint="eastAsia" w:ascii="宋体" w:hAnsi="宋体" w:eastAsia="宋体" w:cs="宋体"/>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F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任务三：比一比</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0B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改变第二个条件。小猴帮妈妈摘桃，原先摘了30个，以后每天都比前一天多摘5个。小猴第三天摘了多少个?第五天呢?(和任务一比较，看看区别在哪里?)</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top"/>
          </w:tcPr>
          <w:p w14:paraId="0600C6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让学生发现“第一天”明确了起始时间与数量，“原先”表述模糊（可能是任意某天的基础数量），但解题逻辑仍需“从条件出发，梳理数量变化”，强化对“条件关联性”的本质理解。举一反三：通过细微差异的对比，培养学生“精读条件、辨析差异、回归本质”的思维习惯，避免因表述变化而干扰解题逻辑，提升审题与分析能力。</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EC216">
            <w:pPr>
              <w:keepNext w:val="0"/>
              <w:keepLines w:val="0"/>
              <w:widowControl/>
              <w:suppressLineNumbers w:val="0"/>
              <w:jc w:val="center"/>
              <w:textAlignment w:val="center"/>
              <w:rPr>
                <w:rFonts w:hint="default" w:ascii="Segoe UI" w:hAnsi="Segoe UI" w:eastAsia="Segoe UI" w:cs="Segoe UI"/>
                <w:i w:val="0"/>
                <w:iCs w:val="0"/>
                <w:color w:val="000000"/>
                <w:kern w:val="0"/>
                <w:sz w:val="20"/>
                <w:szCs w:val="20"/>
                <w:u w:val="none"/>
                <w:lang w:val="en-US" w:eastAsia="zh-CN" w:bidi="ar"/>
              </w:rPr>
            </w:pPr>
            <w:r>
              <w:rPr>
                <w:rFonts w:hint="default" w:ascii="Segoe UI" w:hAnsi="Segoe UI" w:eastAsia="Segoe UI" w:cs="Segoe UI"/>
                <w:i w:val="0"/>
                <w:iCs w:val="0"/>
                <w:color w:val="000000"/>
                <w:kern w:val="0"/>
                <w:sz w:val="20"/>
                <w:szCs w:val="20"/>
                <w:u w:val="none"/>
                <w:lang w:val="en-US" w:eastAsia="zh-CN" w:bidi="ar"/>
              </w:rPr>
              <w:t>本质</w:t>
            </w:r>
          </w:p>
          <w:p w14:paraId="60C45687">
            <w:pPr>
              <w:keepNext w:val="0"/>
              <w:keepLines w:val="0"/>
              <w:widowControl/>
              <w:suppressLineNumbers w:val="0"/>
              <w:jc w:val="center"/>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理解</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797A4">
            <w:pPr>
              <w:keepNext w:val="0"/>
              <w:keepLines w:val="0"/>
              <w:widowControl/>
              <w:suppressLineNumbers w:val="0"/>
              <w:jc w:val="left"/>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按部就班解题，未思考条件关联性本质</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321FF">
            <w:pPr>
              <w:keepNext w:val="0"/>
              <w:keepLines w:val="0"/>
              <w:widowControl/>
              <w:suppressLineNumbers w:val="0"/>
              <w:jc w:val="left"/>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对比解题过程，强调“从条件出发梳理关系”的核心逻辑</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10E44">
            <w:pPr>
              <w:keepNext w:val="0"/>
              <w:keepLines w:val="0"/>
              <w:widowControl/>
              <w:suppressLineNumbers w:val="0"/>
              <w:jc w:val="left"/>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提炼“条件关联性是解题关键”，用该逻辑分析其他问题（如购物问题）</w:t>
            </w:r>
          </w:p>
        </w:tc>
      </w:tr>
      <w:tr w14:paraId="6474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7"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AE55D">
            <w:pPr>
              <w:jc w:val="center"/>
              <w:rPr>
                <w:rFonts w:hint="eastAsia" w:ascii="宋体" w:hAnsi="宋体" w:eastAsia="宋体" w:cs="宋体"/>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8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任务四：思一思</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7E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小猴帮妈妈摘桃，原先摘了30个，以后每天都比前一天多摘5个。小猴第100天摘了多少个?</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top"/>
          </w:tcPr>
          <w:p w14:paraId="794B24F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伸至“第100天摘桃数量”，将具体天数拓展到超大数，迫使学生跳出“逐天计算”的低阶思维：规律探索：驱动学生从“分步计算”升级为“寻找通项规律”，推导“第n天摘桃数=初始数量+(n-1)×增量”的通用公式，实现从“解决具体问题”到“发现数学规律”的跨越。思维进阶：让学生体会“从特殊到一般”的数学归纳思想，掌握“复杂问题简化分析→提炼规律→推广应用”的高阶解题策略，深化对“从条件出发”思维的深度应用。</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F0889">
            <w:pPr>
              <w:keepNext w:val="0"/>
              <w:keepLines w:val="0"/>
              <w:widowControl/>
              <w:suppressLineNumbers w:val="0"/>
              <w:jc w:val="center"/>
              <w:textAlignment w:val="center"/>
              <w:rPr>
                <w:rFonts w:hint="default" w:ascii="Segoe UI" w:hAnsi="Segoe UI" w:eastAsia="Segoe UI" w:cs="Segoe UI"/>
                <w:i w:val="0"/>
                <w:iCs w:val="0"/>
                <w:color w:val="000000"/>
                <w:kern w:val="0"/>
                <w:sz w:val="20"/>
                <w:szCs w:val="20"/>
                <w:u w:val="none"/>
                <w:lang w:val="en-US" w:eastAsia="zh-CN" w:bidi="ar"/>
              </w:rPr>
            </w:pPr>
            <w:r>
              <w:rPr>
                <w:rFonts w:hint="default" w:ascii="Segoe UI" w:hAnsi="Segoe UI" w:eastAsia="Segoe UI" w:cs="Segoe UI"/>
                <w:i w:val="0"/>
                <w:iCs w:val="0"/>
                <w:color w:val="000000"/>
                <w:kern w:val="0"/>
                <w:sz w:val="20"/>
                <w:szCs w:val="20"/>
                <w:u w:val="none"/>
                <w:lang w:val="en-US" w:eastAsia="zh-CN" w:bidi="ar"/>
              </w:rPr>
              <w:t>思维</w:t>
            </w:r>
          </w:p>
          <w:p w14:paraId="2CDBBA61">
            <w:pPr>
              <w:keepNext w:val="0"/>
              <w:keepLines w:val="0"/>
              <w:widowControl/>
              <w:suppressLineNumbers w:val="0"/>
              <w:jc w:val="center"/>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进阶</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F33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理解公式含义，但不会解释归纳过程。</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3A8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清晰阐述</w:t>
            </w:r>
            <w:r>
              <w:rPr>
                <w:rStyle w:val="10"/>
                <w:sz w:val="20"/>
                <w:szCs w:val="20"/>
                <w:lang w:val="en-US" w:eastAsia="zh-CN" w:bidi="ar"/>
              </w:rPr>
              <w:t>“</w:t>
            </w:r>
            <w:r>
              <w:rPr>
                <w:rStyle w:val="11"/>
                <w:sz w:val="20"/>
                <w:szCs w:val="20"/>
                <w:lang w:val="en-US" w:eastAsia="zh-CN" w:bidi="ar"/>
              </w:rPr>
              <w:t>从特殊到一般</w:t>
            </w:r>
            <w:r>
              <w:rPr>
                <w:rStyle w:val="10"/>
                <w:sz w:val="20"/>
                <w:szCs w:val="20"/>
                <w:lang w:val="en-US" w:eastAsia="zh-CN" w:bidi="ar"/>
              </w:rPr>
              <w:t>”</w:t>
            </w:r>
            <w:r>
              <w:rPr>
                <w:rStyle w:val="11"/>
                <w:sz w:val="20"/>
                <w:szCs w:val="20"/>
                <w:lang w:val="en-US" w:eastAsia="zh-CN" w:bidi="ar"/>
              </w:rPr>
              <w:t>的归纳思路，举例说明应用场景。</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495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用数学归纳法严谨证明规律，关联初中数列知识初步拓展。</w:t>
            </w:r>
          </w:p>
        </w:tc>
      </w:tr>
      <w:tr w14:paraId="43802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63257">
            <w:pPr>
              <w:jc w:val="center"/>
              <w:rPr>
                <w:rFonts w:hint="eastAsia" w:ascii="宋体" w:hAnsi="宋体" w:eastAsia="宋体" w:cs="宋体"/>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1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任务五：编一编</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C7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你能编一组“从条件出发”解决的问题并解答吗?(至少2道)</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top"/>
          </w:tcPr>
          <w:p w14:paraId="76C441E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内化：通过“创造情境→设定条件→设计问题→解答验证”的全过程，迫使学生深度理解“从条件出发”的解题逻辑，将外在知识转化为内在解题能力。能力迁移：鼓励学生关联生活实际（如购物、生长、运动等场景）编题，强化数学与生活的联系，同时通过“至少2道”的要求，推动学生多样化应用解题模型，提升举一反三的能力。</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16606">
            <w:pPr>
              <w:keepNext w:val="0"/>
              <w:keepLines w:val="0"/>
              <w:widowControl/>
              <w:suppressLineNumbers w:val="0"/>
              <w:jc w:val="center"/>
              <w:textAlignment w:val="center"/>
              <w:rPr>
                <w:rFonts w:hint="default" w:ascii="Segoe UI" w:hAnsi="Segoe UI" w:eastAsia="Segoe UI" w:cs="Segoe UI"/>
                <w:i w:val="0"/>
                <w:iCs w:val="0"/>
                <w:color w:val="000000"/>
                <w:kern w:val="0"/>
                <w:sz w:val="20"/>
                <w:szCs w:val="20"/>
                <w:u w:val="none"/>
                <w:lang w:val="en-US" w:eastAsia="zh-CN" w:bidi="ar"/>
              </w:rPr>
            </w:pPr>
            <w:r>
              <w:rPr>
                <w:rFonts w:hint="default" w:ascii="Segoe UI" w:hAnsi="Segoe UI" w:eastAsia="Segoe UI" w:cs="Segoe UI"/>
                <w:i w:val="0"/>
                <w:iCs w:val="0"/>
                <w:color w:val="000000"/>
                <w:kern w:val="0"/>
                <w:sz w:val="20"/>
                <w:szCs w:val="20"/>
                <w:u w:val="none"/>
                <w:lang w:val="en-US" w:eastAsia="zh-CN" w:bidi="ar"/>
              </w:rPr>
              <w:t>题目</w:t>
            </w:r>
          </w:p>
          <w:p w14:paraId="34A611C3">
            <w:pPr>
              <w:keepNext w:val="0"/>
              <w:keepLines w:val="0"/>
              <w:widowControl/>
              <w:suppressLineNumbers w:val="0"/>
              <w:jc w:val="center"/>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创编</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E2DF4">
            <w:pPr>
              <w:keepNext w:val="0"/>
              <w:keepLines w:val="0"/>
              <w:widowControl/>
              <w:suppressLineNumbers w:val="0"/>
              <w:jc w:val="left"/>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编题仅模仿原情境，条件单一（如“摘苹果，每天多摘2个”）</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F1D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结合生活多元场景（如</w:t>
            </w:r>
            <w:r>
              <w:rPr>
                <w:rStyle w:val="10"/>
                <w:sz w:val="20"/>
                <w:szCs w:val="20"/>
                <w:lang w:val="en-US" w:eastAsia="zh-CN" w:bidi="ar"/>
              </w:rPr>
              <w:t>“</w:t>
            </w:r>
            <w:r>
              <w:rPr>
                <w:rStyle w:val="11"/>
                <w:sz w:val="20"/>
                <w:szCs w:val="20"/>
                <w:lang w:val="en-US" w:eastAsia="zh-CN" w:bidi="ar"/>
              </w:rPr>
              <w:t>存钱、种树</w:t>
            </w:r>
            <w:r>
              <w:rPr>
                <w:rStyle w:val="10"/>
                <w:sz w:val="20"/>
                <w:szCs w:val="20"/>
                <w:lang w:val="en-US" w:eastAsia="zh-CN" w:bidi="ar"/>
              </w:rPr>
              <w:t>”</w:t>
            </w:r>
            <w:r>
              <w:rPr>
                <w:rStyle w:val="11"/>
                <w:sz w:val="20"/>
                <w:szCs w:val="20"/>
                <w:lang w:val="en-US" w:eastAsia="zh-CN" w:bidi="ar"/>
              </w:rPr>
              <w:t>）编题，条件包含不同关系。</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FE4A8">
            <w:pPr>
              <w:keepNext w:val="0"/>
              <w:keepLines w:val="0"/>
              <w:widowControl/>
              <w:suppressLineNumbers w:val="0"/>
              <w:jc w:val="left"/>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设计开放探究题（如“条件不完整，需补充后解题”），考查他人思维</w:t>
            </w:r>
          </w:p>
        </w:tc>
      </w:tr>
      <w:tr w14:paraId="10D6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C0950">
            <w:pPr>
              <w:jc w:val="center"/>
              <w:rPr>
                <w:rFonts w:hint="eastAsia" w:ascii="宋体" w:hAnsi="宋体" w:eastAsia="宋体" w:cs="宋体"/>
                <w:i w:val="0"/>
                <w:iCs w:val="0"/>
                <w:color w:val="000000"/>
                <w:sz w:val="18"/>
                <w:szCs w:val="18"/>
                <w:u w:val="none"/>
              </w:rPr>
            </w:pPr>
          </w:p>
        </w:tc>
        <w:tc>
          <w:tcPr>
            <w:tcW w:w="1445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5CC4">
            <w:pPr>
              <w:keepNext w:val="0"/>
              <w:keepLines w:val="0"/>
              <w:widowControl/>
              <w:suppressLineNumbers w:val="0"/>
              <w:jc w:val="left"/>
              <w:textAlignment w:val="center"/>
              <w:rPr>
                <w:rFonts w:hint="default" w:ascii="Segoe UI" w:hAnsi="Segoe UI" w:eastAsia="Segoe UI" w:cs="Segoe UI"/>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学任务设计整体逻辑：任务序列以“理—变—比—思—编”为脉络，从理解模型到灵活应用，再到辨析本质、探索规律、自主创造，层层递进地引导学生掌握“从条件出发解决问题”的核心思维。通过生活化情境、开放性调整、高阶思维挑战与自主编题，实现“知识理解—能力提升—思维进阶—素养发展”的深度学习目标，让学生不仅“学会解题”，更“会学解题”，掌握数学思维的底层逻辑。</w:t>
            </w:r>
          </w:p>
        </w:tc>
      </w:tr>
    </w:tbl>
    <w:p w14:paraId="7E4F391C">
      <w:pPr>
        <w:tabs>
          <w:tab w:val="left" w:pos="691"/>
        </w:tabs>
        <w:bidi w:val="0"/>
        <w:jc w:val="left"/>
        <w:rPr>
          <w:rFonts w:hint="eastAsia"/>
          <w:lang w:val="en-US" w:eastAsia="zh-CN"/>
        </w:rPr>
      </w:pPr>
    </w:p>
    <w:p w14:paraId="194F5BDF">
      <w:pPr>
        <w:tabs>
          <w:tab w:val="left" w:pos="691"/>
        </w:tabs>
        <w:bidi w:val="0"/>
        <w:jc w:val="left"/>
        <w:rPr>
          <w:rFonts w:hint="eastAsia"/>
          <w:lang w:val="en-US" w:eastAsia="zh-CN"/>
        </w:rPr>
      </w:pPr>
    </w:p>
    <w:p w14:paraId="14D568D7">
      <w:pPr>
        <w:tabs>
          <w:tab w:val="left" w:pos="691"/>
        </w:tabs>
        <w:bidi w:val="0"/>
        <w:jc w:val="left"/>
        <w:rPr>
          <w:rFonts w:hint="eastAsia"/>
          <w:lang w:val="en-US" w:eastAsia="zh-CN"/>
        </w:rPr>
      </w:pPr>
    </w:p>
    <w:p w14:paraId="6BB33A7B">
      <w:pPr>
        <w:rPr>
          <w:rFonts w:hint="eastAsia"/>
          <w:lang w:val="en-US" w:eastAsia="zh-CN"/>
        </w:rPr>
      </w:pPr>
      <w:r>
        <w:rPr>
          <w:rFonts w:hint="eastAsia"/>
          <w:lang w:val="en-US" w:eastAsia="zh-CN"/>
        </w:rPr>
        <w:br w:type="page"/>
      </w:r>
    </w:p>
    <w:p w14:paraId="70B9E50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Theme="minorEastAsia"/>
          <w:b/>
          <w:bCs/>
          <w:sz w:val="24"/>
          <w:szCs w:val="32"/>
          <w:lang w:val="en-US" w:eastAsia="zh-CN"/>
        </w:rPr>
      </w:pPr>
      <w:r>
        <w:rPr>
          <w:rFonts w:hint="eastAsia" w:asciiTheme="minorHAnsi" w:eastAsiaTheme="minorEastAsia"/>
          <w:b/>
          <w:bCs/>
          <w:sz w:val="24"/>
          <w:szCs w:val="32"/>
          <w:lang w:val="en-US" w:eastAsia="zh-CN"/>
        </w:rPr>
        <w:t>课例</w:t>
      </w:r>
      <w:r>
        <w:rPr>
          <w:rFonts w:hint="eastAsia"/>
          <w:b/>
          <w:bCs/>
          <w:sz w:val="24"/>
          <w:szCs w:val="32"/>
          <w:lang w:val="en-US" w:eastAsia="zh-CN"/>
        </w:rPr>
        <w:t>2</w:t>
      </w:r>
      <w:r>
        <w:rPr>
          <w:rFonts w:hint="eastAsia" w:asciiTheme="minorHAnsi" w:eastAsiaTheme="minorEastAsia"/>
          <w:b/>
          <w:bCs/>
          <w:sz w:val="24"/>
          <w:szCs w:val="32"/>
          <w:lang w:val="en-US" w:eastAsia="zh-CN"/>
        </w:rPr>
        <w:t>：苏教版</w:t>
      </w:r>
      <w:r>
        <w:rPr>
          <w:rFonts w:hint="eastAsia"/>
          <w:b/>
          <w:bCs/>
          <w:sz w:val="24"/>
          <w:szCs w:val="32"/>
          <w:lang w:val="en-US" w:eastAsia="zh-CN"/>
        </w:rPr>
        <w:t>四</w:t>
      </w:r>
      <w:r>
        <w:rPr>
          <w:rFonts w:hint="eastAsia" w:asciiTheme="minorHAnsi" w:eastAsiaTheme="minorEastAsia"/>
          <w:b/>
          <w:bCs/>
          <w:sz w:val="24"/>
          <w:szCs w:val="32"/>
          <w:lang w:val="en-US" w:eastAsia="zh-CN"/>
        </w:rPr>
        <w:t>年级</w:t>
      </w:r>
      <w:r>
        <w:rPr>
          <w:rFonts w:hint="eastAsia"/>
          <w:b/>
          <w:bCs/>
          <w:sz w:val="24"/>
          <w:szCs w:val="32"/>
          <w:lang w:val="en-US" w:eastAsia="zh-CN"/>
        </w:rPr>
        <w:t>下</w:t>
      </w:r>
      <w:r>
        <w:rPr>
          <w:rFonts w:hint="eastAsia" w:asciiTheme="minorHAnsi" w:eastAsiaTheme="minorEastAsia"/>
          <w:b/>
          <w:bCs/>
          <w:sz w:val="24"/>
          <w:szCs w:val="32"/>
          <w:lang w:val="en-US" w:eastAsia="zh-CN"/>
        </w:rPr>
        <w:t>册《</w:t>
      </w:r>
      <w:r>
        <w:rPr>
          <w:rFonts w:hint="eastAsia"/>
          <w:b/>
          <w:bCs/>
          <w:sz w:val="24"/>
          <w:szCs w:val="32"/>
          <w:lang w:val="en-US" w:eastAsia="zh-CN"/>
        </w:rPr>
        <w:t>三角形内角和</w:t>
      </w:r>
      <w:r>
        <w:rPr>
          <w:rFonts w:hint="eastAsia" w:asciiTheme="minorHAnsi" w:eastAsiaTheme="minorEastAsia"/>
          <w:b/>
          <w:bCs/>
          <w:sz w:val="24"/>
          <w:szCs w:val="32"/>
          <w:lang w:val="en-US" w:eastAsia="zh-CN"/>
        </w:rPr>
        <w:t>》</w:t>
      </w:r>
      <w:r>
        <w:rPr>
          <w:rFonts w:hint="eastAsia"/>
          <w:b/>
          <w:bCs/>
          <w:sz w:val="24"/>
          <w:szCs w:val="32"/>
          <w:lang w:val="en-US" w:eastAsia="zh-CN"/>
        </w:rPr>
        <w:t>荆亚琴老师执教</w:t>
      </w:r>
    </w:p>
    <w:p w14:paraId="63F04286">
      <w:pPr>
        <w:tabs>
          <w:tab w:val="left" w:pos="691"/>
        </w:tabs>
        <w:bidi w:val="0"/>
        <w:jc w:val="left"/>
        <w:rPr>
          <w:rFonts w:hint="eastAsia"/>
          <w:lang w:val="en-US" w:eastAsia="zh-CN"/>
        </w:rPr>
      </w:pPr>
    </w:p>
    <w:tbl>
      <w:tblPr>
        <w:tblStyle w:val="5"/>
        <w:tblW w:w="15172"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793"/>
        <w:gridCol w:w="3561"/>
        <w:gridCol w:w="4846"/>
        <w:gridCol w:w="756"/>
        <w:gridCol w:w="1533"/>
        <w:gridCol w:w="1570"/>
        <w:gridCol w:w="1400"/>
      </w:tblGrid>
      <w:tr w14:paraId="56FA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01CF71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课例名称</w:t>
            </w:r>
          </w:p>
        </w:tc>
        <w:tc>
          <w:tcPr>
            <w:tcW w:w="793"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90378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任务序列</w:t>
            </w:r>
          </w:p>
        </w:tc>
        <w:tc>
          <w:tcPr>
            <w:tcW w:w="3561"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3D5B49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任务内容</w:t>
            </w:r>
          </w:p>
        </w:tc>
        <w:tc>
          <w:tcPr>
            <w:tcW w:w="484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97646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任务设计意图</w:t>
            </w:r>
          </w:p>
        </w:tc>
        <w:tc>
          <w:tcPr>
            <w:tcW w:w="75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8CE1CF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评价</w:t>
            </w:r>
          </w:p>
          <w:p w14:paraId="7BC5CC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维度</w:t>
            </w:r>
          </w:p>
        </w:tc>
        <w:tc>
          <w:tcPr>
            <w:tcW w:w="1533"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F0A3C1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水平1</w:t>
            </w:r>
          </w:p>
          <w:p w14:paraId="25C025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（初步参与）</w:t>
            </w:r>
          </w:p>
        </w:tc>
        <w:tc>
          <w:tcPr>
            <w:tcW w:w="157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D820A6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水平2</w:t>
            </w:r>
          </w:p>
          <w:p w14:paraId="704768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（基本掌握）</w:t>
            </w:r>
          </w:p>
        </w:tc>
        <w:tc>
          <w:tcPr>
            <w:tcW w:w="140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868843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水平3</w:t>
            </w:r>
          </w:p>
          <w:p w14:paraId="15F55F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（深度理解）</w:t>
            </w:r>
          </w:p>
        </w:tc>
      </w:tr>
      <w:tr w14:paraId="36EE6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7" w:hRule="atLeast"/>
        </w:trPr>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1C61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三角形内角和</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58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任务一：探索直角三角形内角和</w:t>
            </w:r>
          </w:p>
        </w:tc>
        <w:tc>
          <w:tcPr>
            <w:tcW w:w="3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CF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观察三角尺，标出三个内角并计算内角和。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用研究单（1）提供的直角三角形，尝试用量角器测量三个内角并求和；或通过撕角、折角的方式将三个内角拼成平角。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思考：测量结果不一致时，如何解释？能否用长方形内角和推导直角三角形内角和？</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18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操作感知：通过测量、拼角等活动，让学生直观感受直角三角形内角和接近180°，初步形成猜想。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方法优化：对比测量与拼角方法，体会拼角法的优越性，减少测量误差影响。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推理启蒙：借助长方形内角和推导直角三角形内角和，渗透“转化”思想，开启几何推理意识。</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51F09">
            <w:pPr>
              <w:keepNext w:val="0"/>
              <w:keepLines w:val="0"/>
              <w:widowControl/>
              <w:suppressLineNumbers w:val="0"/>
              <w:jc w:val="left"/>
              <w:textAlignment w:val="center"/>
              <w:rPr>
                <w:rFonts w:ascii="Segoe UI" w:hAnsi="Segoe UI" w:eastAsia="Segoe UI" w:cs="Segoe UI"/>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推理意识</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DE4A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仅能计算三角尺内角和，无猜想</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406E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提出“直角三角形内角和可能是180°”的猜想，能用拼角法验证</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8D98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理解长方形与直角三角形的关系，完整推导“直角三角形内角和=长方形内角和÷2”</w:t>
            </w:r>
          </w:p>
        </w:tc>
      </w:tr>
      <w:tr w14:paraId="0A97D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BB58E">
            <w:pPr>
              <w:jc w:val="center"/>
              <w:rPr>
                <w:rFonts w:hint="eastAsia" w:ascii="宋体" w:hAnsi="宋体" w:eastAsia="宋体" w:cs="宋体"/>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26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任务二：探索锐角三角形内角和</w:t>
            </w:r>
          </w:p>
        </w:tc>
        <w:tc>
          <w:tcPr>
            <w:tcW w:w="3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A4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自主选择一个锐角三角形，用撕角拼合或折角的方式验证内角和。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尝试通过作高将锐角三角形分成两个直角三角形，利用直角三角形内角和推导锐角三角形内角和。填写研究单（3），说明推导过程</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6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方法迁移：将直角三角形的验证方法（拼角、推理）迁移至锐角三角形，巩固操作经验。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推理进阶：通过作高分割图形，培养“化未知为已知”的推理能力，理解几何图形的关联。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表达规范：要求用文字或符号完整表述推导过程，促进逻辑思维的显性化。</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3471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推理表述</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CFDD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能说出“两个直角三角形内角和减去两个直角”的结论，但过程不完整</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F30F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清晰阐述“180°×2-90°×2=180°”的推导逻辑，步骤完整</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F0A0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关联直角三角形研究经验，说明“分类验证”的数学思想</w:t>
            </w:r>
          </w:p>
        </w:tc>
      </w:tr>
      <w:tr w14:paraId="77C6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9D762">
            <w:pPr>
              <w:jc w:val="center"/>
              <w:rPr>
                <w:rFonts w:hint="eastAsia" w:ascii="宋体" w:hAnsi="宋体" w:eastAsia="宋体" w:cs="宋体"/>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0C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任务三：探索钝角三角形内角和</w:t>
            </w:r>
          </w:p>
        </w:tc>
        <w:tc>
          <w:tcPr>
            <w:tcW w:w="3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18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自主画一个钝角三角形，选择合适的方法（拼角、分割或其他）验证内角和。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对比直角三角形、锐角三角形的研究过程，说明钝角三角形内角和的验证逻辑。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思考：为什么不同类型三角形的内角和都可以用拼角或分割法验证？</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C3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独立探究：脱离教师引导，自主选择方法验证，检验知识迁移的独立性。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归纳关联：通过三类三角形的验证过程，发现“拼角成平角”“分割为直角三角形”的共性方法，为归纳一般结论铺垫。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严谨性培养：强调“任意钝角三角形”的验证要求，体会数学结论的普遍性</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D977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推理严谨性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2946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仅验证一个钝角三角形，结论表述不严谨</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5238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明确“所有钝角三角形”的验证范围，方法正确</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D7F0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对比三类三角形验证过程，提炼“转化为已知图形”的通用策略</w:t>
            </w:r>
          </w:p>
        </w:tc>
      </w:tr>
      <w:tr w14:paraId="097E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6126">
            <w:pPr>
              <w:jc w:val="center"/>
              <w:rPr>
                <w:rFonts w:hint="eastAsia" w:ascii="宋体" w:hAnsi="宋体" w:eastAsia="宋体" w:cs="宋体"/>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AE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任务四：归纳一般三角形内角和</w:t>
            </w:r>
          </w:p>
        </w:tc>
        <w:tc>
          <w:tcPr>
            <w:tcW w:w="3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9B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回顾直角、锐角、钝角三角形的内角和研究过程，说明“为什么可以得出所有三角形内角和都是180°”。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用“分类举例验证”的方法解释结论的合理性，尝试用自己的语言表述推理过程。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应用三角形内角和解决简单问题（如已知两角求第三角），说明解题依据。</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9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归纳建模：通过分类验证，理解“完全归纳法”的数学思想，建立“三角形内角和=180°”的知识模型。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应用迁移：将结论应用于问题解决，体会数学规律的实用性，强化推理意识。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元认知发展：回顾研究历程，反思“猜想-验证-推理”的探究路径，积累数学活动经验。</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8619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归纳完整性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57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仅能复述三类三角形的内角和结果，未关联“分类验证”</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5E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说明“三角形按角分三类，每类内角和都是180°”，得出一般结论</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F67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阐述“完全归纳法”的逻辑，对比“不完全归纳”的局限性</w:t>
            </w:r>
          </w:p>
        </w:tc>
      </w:tr>
      <w:tr w14:paraId="4A9D2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3DD99">
            <w:pPr>
              <w:jc w:val="center"/>
              <w:rPr>
                <w:rFonts w:hint="eastAsia" w:ascii="宋体" w:hAnsi="宋体" w:eastAsia="宋体" w:cs="宋体"/>
                <w:i w:val="0"/>
                <w:iCs w:val="0"/>
                <w:color w:val="000000"/>
                <w:sz w:val="18"/>
                <w:szCs w:val="18"/>
                <w:u w:val="none"/>
              </w:rPr>
            </w:pPr>
          </w:p>
        </w:tc>
        <w:tc>
          <w:tcPr>
            <w:tcW w:w="1445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FF1E">
            <w:pPr>
              <w:keepNext w:val="0"/>
              <w:keepLines w:val="0"/>
              <w:widowControl/>
              <w:suppressLineNumbers w:val="0"/>
              <w:jc w:val="left"/>
              <w:textAlignment w:val="center"/>
              <w:rPr>
                <w:rFonts w:hint="default" w:ascii="Segoe UI" w:hAnsi="Segoe UI" w:eastAsia="Segoe UI" w:cs="Segoe UI"/>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任务序列遵循“操作感知→方法迁移→独立探究→归纳建模”的认知进阶路径，通过三类三角形的分层研究，逐步渗透“测量验证-拼角直观-逻辑推理-分类归纳”的研究方法。每个任务均设置“推理思考”要求，重视“猜想-验证-说理”的推理意识发展，最终实现从感性认知到理性思维的跨越，符合《义务教育数学课程标准（2022年版）》对“推理意识”的培养要求。</w:t>
            </w:r>
            <w:r>
              <w:rPr>
                <w:rFonts w:hint="eastAsia" w:ascii="宋体" w:hAnsi="宋体" w:eastAsia="宋体" w:cs="宋体"/>
                <w:i w:val="0"/>
                <w:iCs w:val="0"/>
                <w:color w:val="000000"/>
                <w:kern w:val="0"/>
                <w:sz w:val="20"/>
                <w:szCs w:val="20"/>
                <w:u w:val="none"/>
                <w:lang w:val="en-US" w:eastAsia="zh-CN" w:bidi="ar"/>
              </w:rPr>
              <w:tab/>
            </w:r>
            <w:r>
              <w:rPr>
                <w:rFonts w:hint="eastAsia" w:ascii="宋体" w:hAnsi="宋体" w:eastAsia="宋体" w:cs="宋体"/>
                <w:i w:val="0"/>
                <w:iCs w:val="0"/>
                <w:color w:val="000000"/>
                <w:kern w:val="0"/>
                <w:sz w:val="20"/>
                <w:szCs w:val="20"/>
                <w:u w:val="none"/>
                <w:lang w:val="en-US" w:eastAsia="zh-CN" w:bidi="ar"/>
              </w:rPr>
              <w:tab/>
            </w:r>
            <w:r>
              <w:rPr>
                <w:rFonts w:hint="eastAsia" w:ascii="宋体" w:hAnsi="宋体" w:eastAsia="宋体" w:cs="宋体"/>
                <w:i w:val="0"/>
                <w:iCs w:val="0"/>
                <w:color w:val="000000"/>
                <w:kern w:val="0"/>
                <w:sz w:val="20"/>
                <w:szCs w:val="20"/>
                <w:u w:val="none"/>
                <w:lang w:val="en-US" w:eastAsia="zh-CN" w:bidi="ar"/>
              </w:rPr>
              <w:tab/>
            </w:r>
            <w:r>
              <w:rPr>
                <w:rFonts w:hint="eastAsia" w:ascii="宋体" w:hAnsi="宋体" w:eastAsia="宋体" w:cs="宋体"/>
                <w:i w:val="0"/>
                <w:iCs w:val="0"/>
                <w:color w:val="000000"/>
                <w:kern w:val="0"/>
                <w:sz w:val="20"/>
                <w:szCs w:val="20"/>
                <w:u w:val="none"/>
                <w:lang w:val="en-US" w:eastAsia="zh-CN" w:bidi="ar"/>
              </w:rPr>
              <w:tab/>
            </w:r>
            <w:r>
              <w:rPr>
                <w:rFonts w:hint="eastAsia" w:ascii="宋体" w:hAnsi="宋体" w:eastAsia="宋体" w:cs="宋体"/>
                <w:i w:val="0"/>
                <w:iCs w:val="0"/>
                <w:color w:val="000000"/>
                <w:kern w:val="0"/>
                <w:sz w:val="20"/>
                <w:szCs w:val="20"/>
                <w:u w:val="none"/>
                <w:lang w:val="en-US" w:eastAsia="zh-CN" w:bidi="ar"/>
              </w:rPr>
              <w:tab/>
            </w:r>
            <w:r>
              <w:rPr>
                <w:rFonts w:hint="eastAsia" w:ascii="宋体" w:hAnsi="宋体" w:eastAsia="宋体" w:cs="宋体"/>
                <w:i w:val="0"/>
                <w:iCs w:val="0"/>
                <w:color w:val="000000"/>
                <w:kern w:val="0"/>
                <w:sz w:val="20"/>
                <w:szCs w:val="20"/>
                <w:u w:val="none"/>
                <w:lang w:val="en-US" w:eastAsia="zh-CN" w:bidi="ar"/>
              </w:rPr>
              <w:tab/>
            </w:r>
          </w:p>
        </w:tc>
      </w:tr>
    </w:tbl>
    <w:p w14:paraId="323341E9">
      <w:pPr>
        <w:tabs>
          <w:tab w:val="left" w:pos="691"/>
        </w:tabs>
        <w:bidi w:val="0"/>
        <w:jc w:val="left"/>
        <w:rPr>
          <w:rFonts w:hint="eastAsia"/>
          <w:lang w:val="en-US" w:eastAsia="zh-CN"/>
        </w:rPr>
      </w:pPr>
    </w:p>
    <w:p w14:paraId="502294CA">
      <w:pPr>
        <w:tabs>
          <w:tab w:val="left" w:pos="691"/>
        </w:tabs>
        <w:bidi w:val="0"/>
        <w:jc w:val="left"/>
        <w:rPr>
          <w:rFonts w:hint="eastAsia"/>
          <w:lang w:val="en-US" w:eastAsia="zh-CN"/>
        </w:rPr>
      </w:pPr>
    </w:p>
    <w:p w14:paraId="2A685A6A">
      <w:pPr>
        <w:tabs>
          <w:tab w:val="left" w:pos="691"/>
        </w:tabs>
        <w:bidi w:val="0"/>
        <w:jc w:val="left"/>
        <w:rPr>
          <w:rFonts w:hint="eastAsia"/>
          <w:lang w:val="en-US" w:eastAsia="zh-CN"/>
        </w:rPr>
      </w:pPr>
    </w:p>
    <w:p w14:paraId="645ED5A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Theme="minorEastAsia"/>
          <w:b/>
          <w:bCs/>
          <w:sz w:val="24"/>
          <w:szCs w:val="32"/>
          <w:lang w:val="en-US" w:eastAsia="zh-CN"/>
        </w:rPr>
      </w:pPr>
      <w:r>
        <w:rPr>
          <w:rFonts w:hint="eastAsia" w:asciiTheme="minorHAnsi" w:eastAsiaTheme="minorEastAsia"/>
          <w:b/>
          <w:bCs/>
          <w:sz w:val="24"/>
          <w:szCs w:val="32"/>
          <w:lang w:val="en-US" w:eastAsia="zh-CN"/>
        </w:rPr>
        <w:t>课例</w:t>
      </w:r>
      <w:r>
        <w:rPr>
          <w:rFonts w:hint="eastAsia"/>
          <w:b/>
          <w:bCs/>
          <w:sz w:val="24"/>
          <w:szCs w:val="32"/>
          <w:lang w:val="en-US" w:eastAsia="zh-CN"/>
        </w:rPr>
        <w:t>3</w:t>
      </w:r>
      <w:r>
        <w:rPr>
          <w:rFonts w:hint="eastAsia" w:asciiTheme="minorHAnsi" w:eastAsiaTheme="minorEastAsia"/>
          <w:b/>
          <w:bCs/>
          <w:sz w:val="24"/>
          <w:szCs w:val="32"/>
          <w:lang w:val="en-US" w:eastAsia="zh-CN"/>
        </w:rPr>
        <w:t>：苏教版</w:t>
      </w:r>
      <w:r>
        <w:rPr>
          <w:rFonts w:hint="eastAsia"/>
          <w:b/>
          <w:bCs/>
          <w:sz w:val="24"/>
          <w:szCs w:val="32"/>
          <w:lang w:val="en-US" w:eastAsia="zh-CN"/>
        </w:rPr>
        <w:t>四</w:t>
      </w:r>
      <w:r>
        <w:rPr>
          <w:rFonts w:hint="eastAsia" w:asciiTheme="minorHAnsi" w:eastAsiaTheme="minorEastAsia"/>
          <w:b/>
          <w:bCs/>
          <w:sz w:val="24"/>
          <w:szCs w:val="32"/>
          <w:lang w:val="en-US" w:eastAsia="zh-CN"/>
        </w:rPr>
        <w:t>年级</w:t>
      </w:r>
      <w:r>
        <w:rPr>
          <w:rFonts w:hint="eastAsia"/>
          <w:b/>
          <w:bCs/>
          <w:sz w:val="24"/>
          <w:szCs w:val="32"/>
          <w:lang w:val="en-US" w:eastAsia="zh-CN"/>
        </w:rPr>
        <w:t>下</w:t>
      </w:r>
      <w:r>
        <w:rPr>
          <w:rFonts w:hint="eastAsia" w:asciiTheme="minorHAnsi" w:eastAsiaTheme="minorEastAsia"/>
          <w:b/>
          <w:bCs/>
          <w:sz w:val="24"/>
          <w:szCs w:val="32"/>
          <w:lang w:val="en-US" w:eastAsia="zh-CN"/>
        </w:rPr>
        <w:t>册《</w:t>
      </w:r>
      <w:r>
        <w:rPr>
          <w:rFonts w:hint="eastAsia"/>
          <w:b/>
          <w:bCs/>
          <w:sz w:val="24"/>
          <w:szCs w:val="32"/>
          <w:lang w:val="en-US" w:eastAsia="zh-CN"/>
        </w:rPr>
        <w:t>相遇问题</w:t>
      </w:r>
      <w:r>
        <w:rPr>
          <w:rFonts w:hint="eastAsia" w:asciiTheme="minorHAnsi" w:eastAsiaTheme="minorEastAsia"/>
          <w:b/>
          <w:bCs/>
          <w:sz w:val="24"/>
          <w:szCs w:val="32"/>
          <w:lang w:val="en-US" w:eastAsia="zh-CN"/>
        </w:rPr>
        <w:t>》</w:t>
      </w:r>
      <w:r>
        <w:rPr>
          <w:rFonts w:hint="eastAsia"/>
          <w:b/>
          <w:bCs/>
          <w:sz w:val="24"/>
          <w:szCs w:val="32"/>
          <w:lang w:val="en-US" w:eastAsia="zh-CN"/>
        </w:rPr>
        <w:t>刘丽雅老师执教</w:t>
      </w:r>
    </w:p>
    <w:p w14:paraId="3FAD5A14">
      <w:pPr>
        <w:tabs>
          <w:tab w:val="left" w:pos="691"/>
        </w:tabs>
        <w:bidi w:val="0"/>
        <w:jc w:val="left"/>
        <w:rPr>
          <w:rFonts w:hint="default"/>
          <w:lang w:val="en-US" w:eastAsia="zh-CN"/>
        </w:rPr>
      </w:pPr>
    </w:p>
    <w:tbl>
      <w:tblPr>
        <w:tblStyle w:val="5"/>
        <w:tblW w:w="15172"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793"/>
        <w:gridCol w:w="3561"/>
        <w:gridCol w:w="4846"/>
        <w:gridCol w:w="756"/>
        <w:gridCol w:w="1533"/>
        <w:gridCol w:w="1570"/>
        <w:gridCol w:w="1400"/>
      </w:tblGrid>
      <w:tr w14:paraId="1925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DF393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课例名称</w:t>
            </w:r>
          </w:p>
        </w:tc>
        <w:tc>
          <w:tcPr>
            <w:tcW w:w="793"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A7F35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任务序列</w:t>
            </w:r>
          </w:p>
        </w:tc>
        <w:tc>
          <w:tcPr>
            <w:tcW w:w="3561"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6F5FBF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任务内容</w:t>
            </w:r>
          </w:p>
        </w:tc>
        <w:tc>
          <w:tcPr>
            <w:tcW w:w="484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67C5C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任务设计意图</w:t>
            </w:r>
          </w:p>
        </w:tc>
        <w:tc>
          <w:tcPr>
            <w:tcW w:w="75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D103C2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评价</w:t>
            </w:r>
          </w:p>
          <w:p w14:paraId="513FA7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维度</w:t>
            </w:r>
          </w:p>
        </w:tc>
        <w:tc>
          <w:tcPr>
            <w:tcW w:w="1533"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A0469E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水平1</w:t>
            </w:r>
          </w:p>
          <w:p w14:paraId="7347A8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（初步参与）</w:t>
            </w:r>
          </w:p>
        </w:tc>
        <w:tc>
          <w:tcPr>
            <w:tcW w:w="157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9D0F5D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水平2</w:t>
            </w:r>
          </w:p>
          <w:p w14:paraId="51D92A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（基本掌握）</w:t>
            </w:r>
          </w:p>
        </w:tc>
        <w:tc>
          <w:tcPr>
            <w:tcW w:w="140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18321D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水平3</w:t>
            </w:r>
          </w:p>
          <w:p w14:paraId="090651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（深度理解）</w:t>
            </w:r>
          </w:p>
        </w:tc>
      </w:tr>
      <w:tr w14:paraId="1F7F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7" w:hRule="atLeast"/>
        </w:trPr>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2CD3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相遇问题</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73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任务一：理一理</w:t>
            </w:r>
          </w:p>
        </w:tc>
        <w:tc>
          <w:tcPr>
            <w:tcW w:w="3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42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小明和小芳同时从家出发走向学校，小明每分钟走70米，小芳每分钟走60米，经过4分钟两人在校门口相遇。他们两家相距多少米？请用线段图或表格整理题目中的条件和问题。</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89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以生活化的相遇情境为载体，聚焦“同时出发、相向而行”的关键条件，让学生通过线段图或表格整理条件和问题。一方面，强化对相遇问题基本要素的理解，通过具象化表征破解“路程和”的抽象性，明确“两家距离=小明路程+小芳路程”的数量关系；另一方面，引导学生经历“提取条件→整理信息→分析关系”的过程，初步建立相遇问题的解题思维模型，为后续任务奠定基础。</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B2A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条件整理与表征</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934C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能用文字简单描述条件，但表述模糊，线段图或表格不完整，难以清晰呈现数量关系。</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994D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能正确使用线段图或表格清晰整理条件和问题，准确标注速度、时间等关键信息，解释“两人路程之和为两家距离”。</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400D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创新表征方式（如动态示意图、情境漫画），关联生活中的相遇实例（如两人相向而行的行走路线），深化对相遇问题本质的理解。</w:t>
            </w:r>
          </w:p>
        </w:tc>
      </w:tr>
      <w:tr w14:paraId="2F9B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DB9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3B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任务二：变一变</w:t>
            </w:r>
          </w:p>
        </w:tc>
        <w:tc>
          <w:tcPr>
            <w:tcW w:w="3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B9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改变条件，设计新的相遇问题。例如：小明和小芳同时从学校出发，小明向东走，每分钟走70米；小芳向西走，每分钟走60米，4分钟后两人相距多少米？请分析数量关系并列式解答。</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D6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迫使学生跳出“相向而行至相遇”的思维惯性，通过改变行走方向（反向而行）重构数量关系，灵活调整解题策略。通过“改变条件→分析关系→解决问题”的过程，强化“总路程=两人路程之和”的核心逻辑，让学生认识到无论行走方向如何变化，只要两人同时运动，路程和的计算逻辑不变，提升对相遇问题模型的迁移应用能力。</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6944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条件改编与数量关系分析</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2112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新条件仅简单改变行走方向（如“反向而行”），数量关系无本质变化，列式解答时可能混淆方向与路程的关系。</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7517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能设计不同的行走情境（如背向而行、不同起点同时出发等），合理关联问题，准确分析数量关系，正确运用“速度和×时间=路程和”或“分路程相加”解题。</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8DBB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创造跨情境的相遇问题（如结合物理中的相对运动、行程中的追及与相遇结合等），体现知识融合，能从运动学本质解释数量关系。</w:t>
            </w:r>
          </w:p>
        </w:tc>
      </w:tr>
      <w:tr w14:paraId="582A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4ACA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F7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任务三：比一比</w:t>
            </w:r>
          </w:p>
        </w:tc>
        <w:tc>
          <w:tcPr>
            <w:tcW w:w="3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0E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对比分析以下两个问题：</w:t>
            </w:r>
            <w:r>
              <w:rPr>
                <w:rFonts w:hint="default" w:ascii="宋体" w:hAnsi="宋体" w:eastAsia="宋体" w:cs="宋体"/>
                <w:i w:val="0"/>
                <w:iCs w:val="0"/>
                <w:color w:val="000000"/>
                <w:kern w:val="0"/>
                <w:sz w:val="18"/>
                <w:szCs w:val="18"/>
                <w:u w:val="none"/>
                <w:lang w:val="en-US" w:eastAsia="zh-CN" w:bidi="ar"/>
              </w:rPr>
              <w:br w:type="textWrapping"/>
            </w:r>
            <w:r>
              <w:rPr>
                <w:rFonts w:hint="default" w:ascii="宋体" w:hAnsi="宋体" w:eastAsia="宋体" w:cs="宋体"/>
                <w:i w:val="0"/>
                <w:iCs w:val="0"/>
                <w:color w:val="000000"/>
                <w:kern w:val="0"/>
                <w:sz w:val="18"/>
                <w:szCs w:val="18"/>
                <w:u w:val="none"/>
                <w:lang w:val="en-US" w:eastAsia="zh-CN" w:bidi="ar"/>
              </w:rPr>
              <w:t>问题1：小明和小芳在环形跑道上从同一地点同时出发，反向而行，小明每分钟走70米，小芳每分钟走60米，4分钟后相遇，环形跑道长多少米？</w:t>
            </w:r>
            <w:r>
              <w:rPr>
                <w:rFonts w:hint="default" w:ascii="宋体" w:hAnsi="宋体" w:eastAsia="宋体" w:cs="宋体"/>
                <w:i w:val="0"/>
                <w:iCs w:val="0"/>
                <w:color w:val="000000"/>
                <w:kern w:val="0"/>
                <w:sz w:val="18"/>
                <w:szCs w:val="18"/>
                <w:u w:val="none"/>
                <w:lang w:val="en-US" w:eastAsia="zh-CN" w:bidi="ar"/>
              </w:rPr>
              <w:br w:type="textWrapping"/>
            </w:r>
            <w:r>
              <w:rPr>
                <w:rFonts w:hint="default" w:ascii="宋体" w:hAnsi="宋体" w:eastAsia="宋体" w:cs="宋体"/>
                <w:i w:val="0"/>
                <w:iCs w:val="0"/>
                <w:color w:val="000000"/>
                <w:kern w:val="0"/>
                <w:sz w:val="18"/>
                <w:szCs w:val="18"/>
                <w:u w:val="none"/>
                <w:lang w:val="en-US" w:eastAsia="zh-CN" w:bidi="ar"/>
              </w:rPr>
              <w:t>问题2：小明和小芳同时从家出发走向学校，相遇后继续前行，小明每分钟走70米，小芳每分钟走60米，4分钟后小明到达学校，小芳距离学校还有多少米？请找出两个问题与任务一的区别，分析数量关系。</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85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通过不同情境（环形跑道、直线跑道后续问题）与基础相遇问题的对比，让学生发现“环形跑道的周长等于两人路程和”“直线跑道后续问题需考虑路程差”等不同数量关系，强化对“相遇问题中路程和与速度和、时间的关系”的本质理解。培养学生“精读条件、辨析情境差异、回归数量关系本质”的思维习惯，避免因情境变化而干扰解题逻辑，提升审题与分析能力。</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D0BF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本质理解与对比分析</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5B62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按部就班解题，未深入思考不同情境下数量关系的本质区别，可能混淆环形跑道与直线跑道的路程计算。</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2435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能对比不同问题的解题过程，明确环形跑道中“路程和即跑道周长”，直线后续问题中“路程差”的计算方法，强调“从条件出发梳理关系”的核心逻辑。</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E10C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提炼“相遇问题的核心是两人运动的路程和，需根据情境确定路程和的具体含义（如两地距离、跑道周长等）”，用该逻辑分析其他复杂行程问题（如多次相遇问题）。</w:t>
            </w:r>
          </w:p>
        </w:tc>
      </w:tr>
      <w:tr w14:paraId="1ED4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7"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2B3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01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任务四：思一思</w:t>
            </w:r>
          </w:p>
        </w:tc>
        <w:tc>
          <w:tcPr>
            <w:tcW w:w="3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C2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小明和小芳同向而行，小明每分钟走70米，小芳每分钟走60米，两人同时从学校出发，4分钟后两人相距多少米？若两人从相距200米的两地同向出发，小明在小芳后面，多少分钟后小明追上小芳？请分析这两种情况的数量关系，尝试推导同向而行时“相距距离”或“追及时间”的计算公式。</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8F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将相遇问题延伸至同向而行的追及问题，从“路程和”拓展到“路程差”，迫使学生跳出“相遇即路程和”的思维定式，探索新的数量关系。驱动学生从“具体问题计算”升级为“寻找通项规律”，推导“同向而行时，相距距离=速度差×时间”“追及时间=初始距离÷速度差”的通用公式，实现从“解决单一问题”到“发现数学规律”的跨越。让学生体会“从特殊到一般”的数学归纳思想，掌握“复杂问题简化分析→提炼规律→推广应用”的高阶解题策略，深化对行程问题中速度、时间、路程关系的整体理解。</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0687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思维进阶与规律推导</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1C9D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能解决具体的同向而行问题，但仅停留在分步计算层面，不理解公式的推导过程。</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842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能清晰阐述从具体例子到一般公式的归纳思路，如通过“4分钟后相距距离=（70-60）×4”推出“相距距离=速度差×时间”，并举例说明应用场景。</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B39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用数学归纳法严谨证明同向而行的相关规律，关联初中数学中的一次函数知识，初步拓展到行程问题的函数图像分析，理解速度差与路程差的函数关系。</w:t>
            </w:r>
          </w:p>
        </w:tc>
      </w:tr>
      <w:tr w14:paraId="7F35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7AF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445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889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本任务序列遵循“情境感知→模型建构→迁移应用→拓展创新”的认知进阶路径，通过分层任务设计推动学生从直观理解走向抽象建模，再到综合运用，任务从整理条件入手，让学生用线段图等表征相遇问题，再通过变式练习（反向、环形跑道）迁移模型，最后延伸到同向而行问题。学生认知从具体情境理解，到抽象出数量关系模型，再到模型的拓展应用，逐步加深对相遇问题的理解，发展思维能力。</w:t>
            </w:r>
          </w:p>
        </w:tc>
      </w:tr>
    </w:tbl>
    <w:p w14:paraId="3424AF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449A3FD3">
      <w:pPr>
        <w:tabs>
          <w:tab w:val="left" w:pos="691"/>
        </w:tabs>
        <w:bidi w:val="0"/>
        <w:jc w:val="left"/>
        <w:rPr>
          <w:rFonts w:hint="eastAsia"/>
          <w:lang w:val="en-US" w:eastAsia="zh-CN"/>
        </w:rPr>
      </w:pPr>
    </w:p>
    <w:p w14:paraId="3F1BE807">
      <w:pPr>
        <w:tabs>
          <w:tab w:val="left" w:pos="691"/>
        </w:tabs>
        <w:bidi w:val="0"/>
        <w:jc w:val="left"/>
        <w:rPr>
          <w:rFonts w:hint="eastAsia"/>
          <w:lang w:val="en-US" w:eastAsia="zh-CN"/>
        </w:rPr>
        <w:sectPr>
          <w:type w:val="continuous"/>
          <w:pgSz w:w="16838" w:h="11906" w:orient="landscape"/>
          <w:pgMar w:top="1134" w:right="1134" w:bottom="1134" w:left="1134" w:header="567" w:footer="567" w:gutter="0"/>
          <w:pgBorders>
            <w:top w:val="none" w:sz="0" w:space="0"/>
            <w:left w:val="none" w:sz="0" w:space="0"/>
            <w:bottom w:val="none" w:sz="0" w:space="0"/>
            <w:right w:val="none" w:sz="0" w:space="0"/>
          </w:pgBorders>
          <w:cols w:space="425" w:num="1"/>
          <w:docGrid w:type="lines" w:linePitch="312" w:charSpace="0"/>
        </w:sectPr>
      </w:pPr>
    </w:p>
    <w:p w14:paraId="5B3A6C39">
      <w:pPr>
        <w:tabs>
          <w:tab w:val="left" w:pos="691"/>
        </w:tabs>
        <w:bidi w:val="0"/>
        <w:jc w:val="left"/>
        <w:rPr>
          <w:rFonts w:hint="eastAsia"/>
          <w:lang w:val="en-US" w:eastAsia="zh-CN"/>
        </w:rPr>
      </w:pPr>
    </w:p>
    <w:p w14:paraId="3E83911C">
      <w:pPr>
        <w:tabs>
          <w:tab w:val="left" w:pos="691"/>
        </w:tabs>
        <w:bidi w:val="0"/>
        <w:jc w:val="left"/>
        <w:rPr>
          <w:rFonts w:hint="eastAsia"/>
          <w:lang w:val="en-US" w:eastAsia="zh-CN"/>
        </w:rPr>
      </w:pPr>
    </w:p>
    <w:p w14:paraId="1E7F7147">
      <w:pPr>
        <w:tabs>
          <w:tab w:val="left" w:pos="691"/>
        </w:tabs>
        <w:bidi w:val="0"/>
        <w:jc w:val="left"/>
        <w:rPr>
          <w:rFonts w:hint="eastAsia"/>
          <w:lang w:val="en-US" w:eastAsia="zh-CN"/>
        </w:rPr>
      </w:pPr>
    </w:p>
    <w:p w14:paraId="2702A958">
      <w:pPr>
        <w:tabs>
          <w:tab w:val="left" w:pos="691"/>
        </w:tabs>
        <w:bidi w:val="0"/>
        <w:jc w:val="left"/>
        <w:rPr>
          <w:rFonts w:hint="eastAsia"/>
          <w:lang w:val="en-US" w:eastAsia="zh-CN"/>
        </w:rPr>
      </w:pPr>
    </w:p>
    <w:p w14:paraId="5E50580C">
      <w:pPr>
        <w:tabs>
          <w:tab w:val="left" w:pos="691"/>
        </w:tabs>
        <w:bidi w:val="0"/>
        <w:jc w:val="left"/>
        <w:rPr>
          <w:rFonts w:hint="eastAsia"/>
          <w:lang w:val="en-US" w:eastAsia="zh-CN"/>
        </w:rPr>
      </w:pPr>
    </w:p>
    <w:p w14:paraId="7B7DAE2B">
      <w:pPr>
        <w:tabs>
          <w:tab w:val="left" w:pos="691"/>
        </w:tabs>
        <w:bidi w:val="0"/>
        <w:jc w:val="left"/>
        <w:rPr>
          <w:rFonts w:hint="eastAsia"/>
          <w:lang w:val="en-US" w:eastAsia="zh-CN"/>
        </w:rPr>
      </w:pPr>
    </w:p>
    <w:p w14:paraId="70296352">
      <w:pPr>
        <w:tabs>
          <w:tab w:val="left" w:pos="691"/>
        </w:tabs>
        <w:bidi w:val="0"/>
        <w:jc w:val="left"/>
        <w:rPr>
          <w:rFonts w:hint="eastAsia"/>
          <w:lang w:val="en-US" w:eastAsia="zh-CN"/>
        </w:rPr>
      </w:pPr>
    </w:p>
    <w:p w14:paraId="04BF9EEC">
      <w:pPr>
        <w:tabs>
          <w:tab w:val="left" w:pos="691"/>
        </w:tabs>
        <w:bidi w:val="0"/>
        <w:jc w:val="left"/>
        <w:rPr>
          <w:rFonts w:hint="eastAsia"/>
          <w:lang w:val="en-US" w:eastAsia="zh-CN"/>
        </w:rPr>
      </w:pPr>
    </w:p>
    <w:p w14:paraId="39157C62">
      <w:pPr>
        <w:tabs>
          <w:tab w:val="left" w:pos="691"/>
        </w:tabs>
        <w:bidi w:val="0"/>
        <w:jc w:val="left"/>
        <w:rPr>
          <w:rFonts w:hint="eastAsia"/>
          <w:lang w:val="en-US" w:eastAsia="zh-CN"/>
        </w:rPr>
      </w:pPr>
    </w:p>
    <w:p w14:paraId="5E9C9D1E">
      <w:pPr>
        <w:tabs>
          <w:tab w:val="left" w:pos="691"/>
        </w:tabs>
        <w:bidi w:val="0"/>
        <w:jc w:val="left"/>
        <w:rPr>
          <w:rFonts w:hint="eastAsia"/>
          <w:lang w:val="en-US" w:eastAsia="zh-CN"/>
        </w:rPr>
      </w:pPr>
    </w:p>
    <w:p w14:paraId="3887301A">
      <w:pPr>
        <w:tabs>
          <w:tab w:val="left" w:pos="691"/>
        </w:tabs>
        <w:bidi w:val="0"/>
        <w:jc w:val="left"/>
        <w:rPr>
          <w:rFonts w:hint="eastAsia"/>
          <w:lang w:val="en-US" w:eastAsia="zh-CN"/>
        </w:rPr>
      </w:pPr>
    </w:p>
    <w:sectPr>
      <w:type w:val="continuous"/>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19F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9B82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AA9B82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r>
        <w:separator/>
      </w:r>
    </w:p>
  </w:footnote>
  <w:footnote w:type="continuationSeparator" w:id="25">
    <w:p>
      <w:r>
        <w:continuationSeparator/>
      </w:r>
    </w:p>
  </w:footnote>
  <w:footnote w:id="0">
    <w:p w14:paraId="6501BFB9">
      <w:pPr>
        <w:pStyle w:val="4"/>
        <w:keepNext w:val="0"/>
        <w:keepLines w:val="0"/>
        <w:pageBreakBefore w:val="0"/>
        <w:widowControl w:val="0"/>
        <w:kinsoku/>
        <w:wordWrap/>
        <w:overflowPunct/>
        <w:topLinePunct w:val="0"/>
        <w:bidi w:val="0"/>
        <w:adjustRightInd/>
        <w:snapToGrid w:val="0"/>
        <w:spacing w:line="312" w:lineRule="auto"/>
        <w:textAlignment w:val="auto"/>
        <w:rPr>
          <w:rFonts w:hint="default" w:eastAsiaTheme="minorEastAsia"/>
          <w:sz w:val="18"/>
          <w:szCs w:val="18"/>
          <w:lang w:val="en-US" w:eastAsia="zh-CN"/>
        </w:rPr>
      </w:pPr>
      <w:r>
        <w:rPr>
          <w:rStyle w:val="9"/>
          <w:sz w:val="18"/>
          <w:szCs w:val="18"/>
        </w:rPr>
        <w:footnoteRef/>
      </w:r>
      <w:r>
        <w:rPr>
          <w:rFonts w:hint="eastAsia"/>
          <w:sz w:val="18"/>
          <w:szCs w:val="18"/>
          <w:lang w:val="en-US" w:eastAsia="zh-CN"/>
        </w:rPr>
        <w:t>陈静静.学习共同体走向深深度学习[M].上海:华东师范大学出版社,2020:12</w:t>
      </w:r>
    </w:p>
  </w:footnote>
  <w:footnote w:id="1">
    <w:p w14:paraId="409898C5">
      <w:pPr>
        <w:keepNext w:val="0"/>
        <w:keepLines w:val="0"/>
        <w:pageBreakBefore w:val="0"/>
        <w:widowControl w:val="0"/>
        <w:kinsoku/>
        <w:wordWrap/>
        <w:overflowPunct/>
        <w:topLinePunct w:val="0"/>
        <w:bidi w:val="0"/>
        <w:adjustRightInd/>
        <w:snapToGrid w:val="0"/>
        <w:spacing w:line="312" w:lineRule="auto"/>
        <w:jc w:val="left"/>
        <w:textAlignment w:val="auto"/>
        <w:rPr>
          <w:rFonts w:hint="default"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Times New Roman" w:hAnsi="Times New Roman" w:eastAsia="宋体" w:cs="Times New Roman"/>
          <w:kern w:val="2"/>
          <w:sz w:val="18"/>
          <w:szCs w:val="18"/>
          <w:lang w:val="en-US" w:eastAsia="zh-CN" w:bidi="ar-SA"/>
        </w:rPr>
        <w:t>蔡文亮,金海月.如何设计有意义的数学任务[J].教育视界,2020(10):4-7</w:t>
      </w:r>
    </w:p>
  </w:footnote>
  <w:footnote w:id="2">
    <w:p w14:paraId="4FF78898">
      <w:pPr>
        <w:keepNext w:val="0"/>
        <w:keepLines w:val="0"/>
        <w:pageBreakBefore w:val="0"/>
        <w:widowControl w:val="0"/>
        <w:kinsoku/>
        <w:wordWrap/>
        <w:overflowPunct/>
        <w:topLinePunct w:val="0"/>
        <w:bidi w:val="0"/>
        <w:adjustRightInd/>
        <w:snapToGrid w:val="0"/>
        <w:spacing w:line="312" w:lineRule="auto"/>
        <w:jc w:val="left"/>
        <w:textAlignment w:val="auto"/>
        <w:rPr>
          <w:rFonts w:hint="default"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Times New Roman" w:hAnsi="Times New Roman" w:eastAsia="宋体" w:cs="Times New Roman"/>
          <w:kern w:val="2"/>
          <w:sz w:val="18"/>
          <w:szCs w:val="18"/>
          <w:lang w:val="en-US" w:eastAsia="zh-CN" w:bidi="ar-SA"/>
        </w:rPr>
        <w:t>胡典顺,余晓娟,王学萌,于文字,王静.美国课堂高认知水平数学任务的设计与思考[J],数学教育学报,2019(6):37-41</w:t>
      </w:r>
    </w:p>
  </w:footnote>
  <w:footnote w:id="3">
    <w:p w14:paraId="15D4A1B1">
      <w:pPr>
        <w:keepNext w:val="0"/>
        <w:keepLines w:val="0"/>
        <w:widowControl/>
        <w:suppressLineNumbers w:val="0"/>
        <w:jc w:val="left"/>
      </w:pPr>
      <w:r>
        <w:rPr>
          <w:rStyle w:val="9"/>
        </w:rPr>
        <w:footnoteRef/>
      </w:r>
      <w:r>
        <w:rPr>
          <w:rFonts w:hint="eastAsia" w:ascii="宋体" w:hAnsi="宋体" w:eastAsia="宋体" w:cs="宋体"/>
          <w:color w:val="000000"/>
          <w:kern w:val="0"/>
          <w:sz w:val="18"/>
          <w:szCs w:val="18"/>
          <w:lang w:val="en-US" w:eastAsia="zh-CN" w:bidi="ar"/>
        </w:rPr>
        <w:t>孙智昌</w:t>
      </w:r>
      <w:r>
        <w:rPr>
          <w:rFonts w:hint="default" w:ascii="Times New Roman" w:hAnsi="Times New Roman" w:eastAsia="宋体" w:cs="Times New Roman"/>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学习科学视阈的深度学习</w:t>
      </w:r>
      <w:r>
        <w:rPr>
          <w:rFonts w:hint="default" w:ascii="Times New Roman" w:hAnsi="Times New Roman" w:eastAsia="宋体" w:cs="Times New Roman"/>
          <w:color w:val="000000"/>
          <w:kern w:val="0"/>
          <w:sz w:val="18"/>
          <w:szCs w:val="18"/>
          <w:lang w:val="en-US" w:eastAsia="zh-CN" w:bidi="ar"/>
        </w:rPr>
        <w:t>[J].</w:t>
      </w:r>
      <w:r>
        <w:rPr>
          <w:rFonts w:hint="eastAsia" w:ascii="宋体" w:hAnsi="宋体" w:eastAsia="宋体" w:cs="宋体"/>
          <w:color w:val="000000"/>
          <w:kern w:val="0"/>
          <w:sz w:val="18"/>
          <w:szCs w:val="18"/>
          <w:lang w:val="en-US" w:eastAsia="zh-CN" w:bidi="ar"/>
        </w:rPr>
        <w:t>课程·教材·教法</w:t>
      </w:r>
      <w:r>
        <w:rPr>
          <w:rFonts w:hint="default" w:ascii="Times New Roman" w:hAnsi="Times New Roman" w:eastAsia="宋体" w:cs="Times New Roman"/>
          <w:color w:val="000000"/>
          <w:kern w:val="0"/>
          <w:sz w:val="18"/>
          <w:szCs w:val="18"/>
          <w:lang w:val="en-US" w:eastAsia="zh-CN" w:bidi="ar"/>
        </w:rPr>
        <w:t>,2018(1):20.</w:t>
      </w:r>
    </w:p>
  </w:footnote>
  <w:footnote w:id="4">
    <w:p w14:paraId="6AB80D64">
      <w:pPr>
        <w:keepNext w:val="0"/>
        <w:keepLines w:val="0"/>
        <w:widowControl/>
        <w:suppressLineNumbers w:val="0"/>
        <w:jc w:val="left"/>
      </w:pPr>
      <w:r>
        <w:rPr>
          <w:rStyle w:val="9"/>
        </w:rPr>
        <w:footnoteRef/>
      </w:r>
      <w:r>
        <w:rPr>
          <w:rFonts w:hint="eastAsia" w:ascii="宋体" w:hAnsi="宋体" w:eastAsia="宋体" w:cs="宋体"/>
          <w:color w:val="000000"/>
          <w:kern w:val="0"/>
          <w:sz w:val="18"/>
          <w:szCs w:val="18"/>
          <w:lang w:val="en-US" w:eastAsia="zh-CN" w:bidi="ar"/>
        </w:rPr>
        <w:t>吴秀娟</w:t>
      </w:r>
      <w:r>
        <w:rPr>
          <w:rFonts w:hint="default" w:ascii="Times New Roman" w:hAnsi="Times New Roman" w:eastAsia="宋体" w:cs="Times New Roman"/>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基于反思的深度学习研究</w:t>
      </w:r>
      <w:r>
        <w:rPr>
          <w:rFonts w:hint="default" w:ascii="Times New Roman" w:hAnsi="Times New Roman" w:eastAsia="宋体" w:cs="Times New Roman"/>
          <w:color w:val="000000"/>
          <w:kern w:val="0"/>
          <w:sz w:val="18"/>
          <w:szCs w:val="18"/>
          <w:lang w:val="en-US" w:eastAsia="zh-CN" w:bidi="ar"/>
        </w:rPr>
        <w:t>[D]:</w:t>
      </w:r>
      <w:r>
        <w:rPr>
          <w:rFonts w:hint="eastAsia" w:ascii="宋体" w:hAnsi="宋体" w:eastAsia="宋体" w:cs="宋体"/>
          <w:color w:val="000000"/>
          <w:kern w:val="0"/>
          <w:sz w:val="18"/>
          <w:szCs w:val="18"/>
          <w:lang w:val="en-US" w:eastAsia="zh-CN" w:bidi="ar"/>
        </w:rPr>
        <w:t>博士论文</w:t>
      </w:r>
      <w:r>
        <w:rPr>
          <w:rFonts w:hint="default" w:ascii="Times New Roman" w:hAnsi="Times New Roman" w:eastAsia="宋体" w:cs="Times New Roman"/>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扬州</w:t>
      </w:r>
      <w:r>
        <w:rPr>
          <w:rFonts w:hint="default" w:ascii="Times New Roman" w:hAnsi="Times New Roman" w:eastAsia="宋体" w:cs="Times New Roman"/>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扬州大学</w:t>
      </w:r>
      <w:r>
        <w:rPr>
          <w:rFonts w:hint="default" w:ascii="Times New Roman" w:hAnsi="Times New Roman" w:eastAsia="宋体" w:cs="Times New Roman"/>
          <w:color w:val="000000"/>
          <w:kern w:val="0"/>
          <w:sz w:val="18"/>
          <w:szCs w:val="18"/>
          <w:lang w:val="en-US" w:eastAsia="zh-CN" w:bidi="ar"/>
        </w:rPr>
        <w:t>,2013:23.</w:t>
      </w:r>
    </w:p>
  </w:footnote>
  <w:footnote w:id="5">
    <w:p w14:paraId="1FD0EC98">
      <w:pPr>
        <w:pStyle w:val="4"/>
        <w:snapToGrid w:val="0"/>
      </w:pPr>
      <w:r>
        <w:rPr>
          <w:rStyle w:val="9"/>
        </w:rPr>
        <w:footnoteRef/>
      </w:r>
      <w:r>
        <w:rPr>
          <w:rFonts w:hint="eastAsia"/>
        </w:rPr>
        <w:t>EricJensenLeAnnNickelsen著,温暖译.深度学习的7种有力策略[M].上海:华东师范大学出版社,2010:1-3.</w:t>
      </w:r>
    </w:p>
  </w:footnote>
  <w:footnote w:id="6">
    <w:p w14:paraId="5D7B5195">
      <w:pPr>
        <w:pStyle w:val="4"/>
        <w:snapToGrid w:val="0"/>
      </w:pPr>
      <w:r>
        <w:rPr>
          <w:rStyle w:val="9"/>
        </w:rPr>
        <w:footnoteRef/>
      </w:r>
      <w:r>
        <w:rPr>
          <w:rFonts w:hint="eastAsia"/>
        </w:rPr>
        <w:t>雷钢.从AECT定义演变看教育技术发展趋势[J].中国电化教育,2008,(12):13-15.</w:t>
      </w:r>
    </w:p>
  </w:footnote>
  <w:footnote w:id="7">
    <w:p w14:paraId="72C7116D">
      <w:pPr>
        <w:pStyle w:val="4"/>
        <w:snapToGrid w:val="0"/>
      </w:pPr>
      <w:r>
        <w:rPr>
          <w:rStyle w:val="9"/>
        </w:rPr>
        <w:footnoteRef/>
      </w:r>
      <w:r>
        <w:rPr>
          <w:rFonts w:hint="eastAsia"/>
        </w:rPr>
        <w:t>何玲、黎加厚.促进学生深度学习[J].现代教学,2005(5):29-30.</w:t>
      </w:r>
    </w:p>
  </w:footnote>
  <w:footnote w:id="8">
    <w:p w14:paraId="7A7CCB59">
      <w:pPr>
        <w:keepNext w:val="0"/>
        <w:keepLines w:val="0"/>
        <w:widowControl/>
        <w:suppressLineNumbers w:val="0"/>
        <w:jc w:val="left"/>
      </w:pPr>
      <w:r>
        <w:rPr>
          <w:rStyle w:val="9"/>
        </w:rPr>
        <w:footnoteRef/>
      </w:r>
      <w:r>
        <w:rPr>
          <w:rFonts w:hint="eastAsia" w:ascii="宋体" w:hAnsi="宋体" w:eastAsia="宋体" w:cs="宋体"/>
          <w:color w:val="000000"/>
          <w:kern w:val="0"/>
          <w:sz w:val="18"/>
          <w:szCs w:val="18"/>
          <w:lang w:val="en-US" w:eastAsia="zh-CN" w:bidi="ar"/>
        </w:rPr>
        <w:t>景洪娜</w:t>
      </w:r>
      <w:r>
        <w:rPr>
          <w:rFonts w:hint="default" w:ascii="Times New Roman" w:hAnsi="Times New Roman" w:eastAsia="宋体" w:cs="Times New Roman"/>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陈琳</w:t>
      </w:r>
      <w:r>
        <w:rPr>
          <w:rFonts w:hint="default" w:ascii="Times New Roman" w:hAnsi="Times New Roman" w:eastAsia="宋体" w:cs="Times New Roman"/>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赵雪萍</w:t>
      </w:r>
      <w:r>
        <w:rPr>
          <w:rFonts w:hint="default" w:ascii="Times New Roman" w:hAnsi="Times New Roman" w:eastAsia="宋体" w:cs="Times New Roman"/>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基于</w:t>
      </w:r>
      <w:r>
        <w:rPr>
          <w:rFonts w:hint="default" w:ascii="Times New Roman" w:hAnsi="Times New Roman" w:eastAsia="宋体" w:cs="Times New Roman"/>
          <w:color w:val="000000"/>
          <w:kern w:val="0"/>
          <w:sz w:val="18"/>
          <w:szCs w:val="18"/>
          <w:lang w:val="en-US" w:eastAsia="zh-CN" w:bidi="ar"/>
        </w:rPr>
        <w:t>Moodle</w:t>
      </w:r>
      <w:r>
        <w:rPr>
          <w:rFonts w:hint="eastAsia" w:ascii="宋体" w:hAnsi="宋体" w:eastAsia="宋体" w:cs="宋体"/>
          <w:color w:val="000000"/>
          <w:kern w:val="0"/>
          <w:sz w:val="18"/>
          <w:szCs w:val="18"/>
          <w:lang w:val="en-US" w:eastAsia="zh-CN" w:bidi="ar"/>
        </w:rPr>
        <w:t>的深层学习研究</w:t>
      </w:r>
      <w:r>
        <w:rPr>
          <w:rFonts w:hint="default" w:ascii="Times New Roman" w:hAnsi="Times New Roman" w:eastAsia="宋体" w:cs="Times New Roman"/>
          <w:color w:val="000000"/>
          <w:kern w:val="0"/>
          <w:sz w:val="18"/>
          <w:szCs w:val="18"/>
          <w:lang w:val="en-US" w:eastAsia="zh-CN" w:bidi="ar"/>
        </w:rPr>
        <w:t>[J].</w:t>
      </w:r>
      <w:r>
        <w:rPr>
          <w:rFonts w:hint="eastAsia" w:ascii="宋体" w:hAnsi="宋体" w:eastAsia="宋体" w:cs="宋体"/>
          <w:color w:val="000000"/>
          <w:kern w:val="0"/>
          <w:sz w:val="18"/>
          <w:szCs w:val="18"/>
          <w:lang w:val="en-US" w:eastAsia="zh-CN" w:bidi="ar"/>
        </w:rPr>
        <w:t>远程教育杂志</w:t>
      </w:r>
      <w:r>
        <w:rPr>
          <w:rFonts w:hint="default" w:ascii="Times New Roman" w:hAnsi="Times New Roman" w:eastAsia="宋体" w:cs="Times New Roman"/>
          <w:color w:val="000000"/>
          <w:kern w:val="0"/>
          <w:sz w:val="18"/>
          <w:szCs w:val="18"/>
          <w:lang w:val="en-US" w:eastAsia="zh-CN" w:bidi="ar"/>
        </w:rPr>
        <w:t>,2011(6):27-33.</w:t>
      </w:r>
    </w:p>
  </w:footnote>
  <w:footnote w:id="9">
    <w:p w14:paraId="76BE0761">
      <w:pPr>
        <w:keepNext w:val="0"/>
        <w:keepLines w:val="0"/>
        <w:widowControl/>
        <w:suppressLineNumbers w:val="0"/>
        <w:jc w:val="left"/>
      </w:pPr>
      <w:r>
        <w:rPr>
          <w:rStyle w:val="9"/>
        </w:rPr>
        <w:footnoteRef/>
      </w:r>
      <w:r>
        <w:rPr>
          <w:rFonts w:hint="eastAsia" w:ascii="宋体" w:hAnsi="宋体" w:eastAsia="宋体" w:cs="宋体"/>
          <w:color w:val="000000"/>
          <w:kern w:val="0"/>
          <w:sz w:val="18"/>
          <w:szCs w:val="18"/>
          <w:lang w:val="en-US" w:eastAsia="zh-CN" w:bidi="ar"/>
        </w:rPr>
        <w:t>张艳</w:t>
      </w:r>
      <w:r>
        <w:rPr>
          <w:rFonts w:hint="default" w:ascii="Times New Roman" w:hAnsi="Times New Roman" w:eastAsia="宋体" w:cs="Times New Roman"/>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小学数学任务型学习的教学设计原则</w:t>
      </w:r>
      <w:r>
        <w:rPr>
          <w:rFonts w:hint="default" w:ascii="Times New Roman" w:hAnsi="Times New Roman" w:eastAsia="宋体" w:cs="Times New Roman"/>
          <w:color w:val="000000"/>
          <w:kern w:val="0"/>
          <w:sz w:val="18"/>
          <w:szCs w:val="18"/>
          <w:lang w:val="en-US" w:eastAsia="zh-CN" w:bidi="ar"/>
        </w:rPr>
        <w:t>[J].</w:t>
      </w:r>
      <w:r>
        <w:rPr>
          <w:rFonts w:hint="eastAsia" w:ascii="宋体" w:hAnsi="宋体" w:eastAsia="宋体" w:cs="宋体"/>
          <w:color w:val="000000"/>
          <w:kern w:val="0"/>
          <w:sz w:val="18"/>
          <w:szCs w:val="18"/>
          <w:lang w:val="en-US" w:eastAsia="zh-CN" w:bidi="ar"/>
        </w:rPr>
        <w:t>教学与管理，</w:t>
      </w:r>
      <w:r>
        <w:rPr>
          <w:rFonts w:hint="default" w:ascii="Times New Roman" w:hAnsi="Times New Roman" w:eastAsia="宋体" w:cs="Times New Roman"/>
          <w:color w:val="000000"/>
          <w:kern w:val="0"/>
          <w:sz w:val="18"/>
          <w:szCs w:val="18"/>
          <w:lang w:val="en-US" w:eastAsia="zh-CN" w:bidi="ar"/>
        </w:rPr>
        <w:t>2020</w:t>
      </w:r>
      <w:r>
        <w:rPr>
          <w:rFonts w:hint="eastAsia" w:ascii="宋体" w:hAnsi="宋体" w:eastAsia="宋体" w:cs="宋体"/>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15</w:t>
      </w:r>
      <w:r>
        <w:rPr>
          <w:rFonts w:hint="eastAsia" w:ascii="宋体" w:hAnsi="宋体" w:eastAsia="宋体" w:cs="宋体"/>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:43</w:t>
      </w:r>
    </w:p>
  </w:footnote>
  <w:footnote w:id="10">
    <w:p w14:paraId="4D4B491B">
      <w:pPr>
        <w:keepNext w:val="0"/>
        <w:keepLines w:val="0"/>
        <w:widowControl/>
        <w:suppressLineNumbers w:val="0"/>
        <w:jc w:val="left"/>
      </w:pPr>
      <w:r>
        <w:rPr>
          <w:rStyle w:val="9"/>
        </w:rPr>
        <w:footnoteRef/>
      </w:r>
      <w:r>
        <w:rPr>
          <w:rFonts w:hint="eastAsia" w:ascii="宋体" w:hAnsi="宋体" w:eastAsia="宋体" w:cs="宋体"/>
          <w:color w:val="000000"/>
          <w:kern w:val="0"/>
          <w:sz w:val="16"/>
          <w:szCs w:val="16"/>
          <w:lang w:val="en-US" w:eastAsia="zh-CN" w:bidi="ar"/>
        </w:rPr>
        <w:t>袁志玲，陆书环</w:t>
      </w:r>
      <w:r>
        <w:rPr>
          <w:rFonts w:hint="default" w:ascii="Times New Roman" w:hAnsi="Times New Roman" w:eastAsia="宋体" w:cs="Times New Roman"/>
          <w:color w:val="000000"/>
          <w:kern w:val="0"/>
          <w:sz w:val="16"/>
          <w:szCs w:val="16"/>
          <w:lang w:val="en-US" w:eastAsia="zh-CN" w:bidi="ar"/>
        </w:rPr>
        <w:t>.</w:t>
      </w:r>
      <w:r>
        <w:rPr>
          <w:rFonts w:hint="eastAsia" w:ascii="宋体" w:hAnsi="宋体" w:eastAsia="宋体" w:cs="宋体"/>
          <w:color w:val="000000"/>
          <w:kern w:val="0"/>
          <w:sz w:val="16"/>
          <w:szCs w:val="16"/>
          <w:lang w:val="en-US" w:eastAsia="zh-CN" w:bidi="ar"/>
        </w:rPr>
        <w:t>高认知水平数学教学任务的教学意义及启示</w:t>
      </w:r>
      <w:r>
        <w:rPr>
          <w:rFonts w:hint="default" w:ascii="Times New Roman" w:hAnsi="Times New Roman" w:eastAsia="宋体" w:cs="Times New Roman"/>
          <w:color w:val="000000"/>
          <w:kern w:val="0"/>
          <w:sz w:val="16"/>
          <w:szCs w:val="16"/>
          <w:lang w:val="en-US" w:eastAsia="zh-CN" w:bidi="ar"/>
        </w:rPr>
        <w:t>[J].</w:t>
      </w:r>
      <w:r>
        <w:rPr>
          <w:rFonts w:hint="eastAsia" w:ascii="宋体" w:hAnsi="宋体" w:eastAsia="宋体" w:cs="宋体"/>
          <w:color w:val="000000"/>
          <w:kern w:val="0"/>
          <w:sz w:val="16"/>
          <w:szCs w:val="16"/>
          <w:lang w:val="en-US" w:eastAsia="zh-CN" w:bidi="ar"/>
        </w:rPr>
        <w:t>数学教育学报，</w:t>
      </w:r>
      <w:r>
        <w:rPr>
          <w:rFonts w:hint="default" w:ascii="Times New Roman" w:hAnsi="Times New Roman" w:eastAsia="宋体" w:cs="Times New Roman"/>
          <w:color w:val="000000"/>
          <w:kern w:val="0"/>
          <w:sz w:val="16"/>
          <w:szCs w:val="16"/>
          <w:lang w:val="en-US" w:eastAsia="zh-CN" w:bidi="ar"/>
        </w:rPr>
        <w:t>2008</w:t>
      </w:r>
      <w:r>
        <w:rPr>
          <w:rFonts w:hint="eastAsia" w:ascii="宋体" w:hAnsi="宋体" w:eastAsia="宋体" w:cs="宋体"/>
          <w:color w:val="000000"/>
          <w:kern w:val="0"/>
          <w:sz w:val="16"/>
          <w:szCs w:val="16"/>
          <w:lang w:val="en-US" w:eastAsia="zh-CN" w:bidi="ar"/>
        </w:rPr>
        <w:t>（</w:t>
      </w:r>
      <w:r>
        <w:rPr>
          <w:rFonts w:hint="default" w:ascii="Times New Roman" w:hAnsi="Times New Roman" w:eastAsia="宋体" w:cs="Times New Roman"/>
          <w:color w:val="000000"/>
          <w:kern w:val="0"/>
          <w:sz w:val="16"/>
          <w:szCs w:val="16"/>
          <w:lang w:val="en-US" w:eastAsia="zh-CN" w:bidi="ar"/>
        </w:rPr>
        <w:t>6</w:t>
      </w:r>
      <w:r>
        <w:rPr>
          <w:rFonts w:hint="eastAsia" w:ascii="宋体" w:hAnsi="宋体" w:eastAsia="宋体" w:cs="宋体"/>
          <w:color w:val="000000"/>
          <w:kern w:val="0"/>
          <w:sz w:val="16"/>
          <w:szCs w:val="16"/>
          <w:lang w:val="en-US" w:eastAsia="zh-CN" w:bidi="ar"/>
        </w:rPr>
        <w:t>）</w:t>
      </w:r>
      <w:r>
        <w:rPr>
          <w:rFonts w:hint="default" w:ascii="Times New Roman" w:hAnsi="Times New Roman" w:eastAsia="宋体" w:cs="Times New Roman"/>
          <w:color w:val="000000"/>
          <w:kern w:val="0"/>
          <w:sz w:val="16"/>
          <w:szCs w:val="16"/>
          <w:lang w:val="en-US" w:eastAsia="zh-CN" w:bidi="ar"/>
        </w:rPr>
        <w:t>:37-40.</w:t>
      </w:r>
    </w:p>
  </w:footnote>
  <w:footnote w:id="11">
    <w:p w14:paraId="5B09D501">
      <w:pPr>
        <w:pStyle w:val="4"/>
        <w:snapToGrid w:val="0"/>
      </w:pPr>
      <w:r>
        <w:rPr>
          <w:rStyle w:val="9"/>
        </w:rPr>
        <w:footnoteRef/>
      </w:r>
      <w:r>
        <w:rPr>
          <w:rFonts w:hint="eastAsia"/>
        </w:rPr>
        <w:t>黄翔，李开慧.关于数学课程的情境化设计[J].课程.教材.教法，2006（9）:39-43.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D4313"/>
    <w:multiLevelType w:val="singleLevel"/>
    <w:tmpl w:val="8A9D4313"/>
    <w:lvl w:ilvl="0" w:tentative="0">
      <w:start w:val="1"/>
      <w:numFmt w:val="decimal"/>
      <w:lvlText w:val="%1."/>
      <w:lvlJc w:val="left"/>
      <w:pPr>
        <w:ind w:left="425" w:hanging="425"/>
      </w:pPr>
      <w:rPr>
        <w:rFonts w:hint="default"/>
      </w:rPr>
    </w:lvl>
  </w:abstractNum>
  <w:abstractNum w:abstractNumId="1">
    <w:nsid w:val="8F9B38AE"/>
    <w:multiLevelType w:val="singleLevel"/>
    <w:tmpl w:val="8F9B38AE"/>
    <w:lvl w:ilvl="0" w:tentative="0">
      <w:start w:val="2"/>
      <w:numFmt w:val="chineseCounting"/>
      <w:suff w:val="nothing"/>
      <w:lvlText w:val="（%1）"/>
      <w:lvlJc w:val="left"/>
      <w:rPr>
        <w:rFonts w:hint="eastAsia"/>
      </w:rPr>
    </w:lvl>
  </w:abstractNum>
  <w:abstractNum w:abstractNumId="2">
    <w:nsid w:val="BF9B1DDC"/>
    <w:multiLevelType w:val="singleLevel"/>
    <w:tmpl w:val="BF9B1DDC"/>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4"/>
    <w:footnote w:id="25"/>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E5DE0"/>
    <w:rsid w:val="00087B19"/>
    <w:rsid w:val="00422201"/>
    <w:rsid w:val="00460A91"/>
    <w:rsid w:val="006F3C9E"/>
    <w:rsid w:val="008B08CF"/>
    <w:rsid w:val="00A3007D"/>
    <w:rsid w:val="00C3711A"/>
    <w:rsid w:val="013C100E"/>
    <w:rsid w:val="015867E1"/>
    <w:rsid w:val="017C1780"/>
    <w:rsid w:val="01DD506E"/>
    <w:rsid w:val="02052048"/>
    <w:rsid w:val="0209050B"/>
    <w:rsid w:val="022C6F69"/>
    <w:rsid w:val="02577764"/>
    <w:rsid w:val="02655D2E"/>
    <w:rsid w:val="02DE02EE"/>
    <w:rsid w:val="02ED3B24"/>
    <w:rsid w:val="02F913DF"/>
    <w:rsid w:val="035809EA"/>
    <w:rsid w:val="038559E7"/>
    <w:rsid w:val="03B21A95"/>
    <w:rsid w:val="03C37E5D"/>
    <w:rsid w:val="0430498C"/>
    <w:rsid w:val="04383A0F"/>
    <w:rsid w:val="04AA0B50"/>
    <w:rsid w:val="04AD51E7"/>
    <w:rsid w:val="05001B65"/>
    <w:rsid w:val="0512406A"/>
    <w:rsid w:val="052170B2"/>
    <w:rsid w:val="054F3F32"/>
    <w:rsid w:val="05712DD6"/>
    <w:rsid w:val="05883B97"/>
    <w:rsid w:val="058F5734"/>
    <w:rsid w:val="05A13F58"/>
    <w:rsid w:val="05C42EE3"/>
    <w:rsid w:val="064F1E89"/>
    <w:rsid w:val="068F1E86"/>
    <w:rsid w:val="068F7C01"/>
    <w:rsid w:val="069062CE"/>
    <w:rsid w:val="06E90414"/>
    <w:rsid w:val="07351C79"/>
    <w:rsid w:val="07471329"/>
    <w:rsid w:val="076A45E3"/>
    <w:rsid w:val="077405E5"/>
    <w:rsid w:val="07B61C2D"/>
    <w:rsid w:val="07CD3709"/>
    <w:rsid w:val="07EC196E"/>
    <w:rsid w:val="0800534B"/>
    <w:rsid w:val="083C28DB"/>
    <w:rsid w:val="08CC7385"/>
    <w:rsid w:val="08FF6ACF"/>
    <w:rsid w:val="095054C0"/>
    <w:rsid w:val="097B258B"/>
    <w:rsid w:val="098A6EAA"/>
    <w:rsid w:val="098D666F"/>
    <w:rsid w:val="09C606B1"/>
    <w:rsid w:val="09D260E7"/>
    <w:rsid w:val="0A043ECA"/>
    <w:rsid w:val="0A4B06B8"/>
    <w:rsid w:val="0AB84E13"/>
    <w:rsid w:val="0AC5173E"/>
    <w:rsid w:val="0AC9499E"/>
    <w:rsid w:val="0AD678D6"/>
    <w:rsid w:val="0ADC0468"/>
    <w:rsid w:val="0AE82AE6"/>
    <w:rsid w:val="0AFE14CE"/>
    <w:rsid w:val="0B0A7ECB"/>
    <w:rsid w:val="0B1A21E2"/>
    <w:rsid w:val="0B1C6002"/>
    <w:rsid w:val="0B207CF6"/>
    <w:rsid w:val="0B765A06"/>
    <w:rsid w:val="0BC553FD"/>
    <w:rsid w:val="0BCD79FC"/>
    <w:rsid w:val="0C1C56F3"/>
    <w:rsid w:val="0C256A44"/>
    <w:rsid w:val="0C4E2ACB"/>
    <w:rsid w:val="0C504708"/>
    <w:rsid w:val="0C884133"/>
    <w:rsid w:val="0C8D784E"/>
    <w:rsid w:val="0C8F7AF6"/>
    <w:rsid w:val="0C9809D1"/>
    <w:rsid w:val="0CB67CB2"/>
    <w:rsid w:val="0CBD2769"/>
    <w:rsid w:val="0CD35567"/>
    <w:rsid w:val="0D4C5318"/>
    <w:rsid w:val="0D541AB7"/>
    <w:rsid w:val="0D6E1FF6"/>
    <w:rsid w:val="0D6F0C45"/>
    <w:rsid w:val="0DAE4809"/>
    <w:rsid w:val="0DCF68B4"/>
    <w:rsid w:val="0DE13306"/>
    <w:rsid w:val="0DEB5303"/>
    <w:rsid w:val="0E092C00"/>
    <w:rsid w:val="0E2D7132"/>
    <w:rsid w:val="0E402D6D"/>
    <w:rsid w:val="0E5102E7"/>
    <w:rsid w:val="0E5619E3"/>
    <w:rsid w:val="0E943A29"/>
    <w:rsid w:val="0EA76F23"/>
    <w:rsid w:val="0EF92D9B"/>
    <w:rsid w:val="0F131F46"/>
    <w:rsid w:val="0F4074E0"/>
    <w:rsid w:val="0F5B7501"/>
    <w:rsid w:val="0FBC4530"/>
    <w:rsid w:val="0FDB325A"/>
    <w:rsid w:val="10832A7B"/>
    <w:rsid w:val="10B63DAD"/>
    <w:rsid w:val="10C2449E"/>
    <w:rsid w:val="10C56F05"/>
    <w:rsid w:val="10DA1B79"/>
    <w:rsid w:val="10DE0A88"/>
    <w:rsid w:val="10DF4246"/>
    <w:rsid w:val="112D0097"/>
    <w:rsid w:val="112F2656"/>
    <w:rsid w:val="117D68A5"/>
    <w:rsid w:val="119716D0"/>
    <w:rsid w:val="11A75453"/>
    <w:rsid w:val="11AB1DD1"/>
    <w:rsid w:val="11BA453F"/>
    <w:rsid w:val="11D4138D"/>
    <w:rsid w:val="12140770"/>
    <w:rsid w:val="127C2A63"/>
    <w:rsid w:val="12AC2DAE"/>
    <w:rsid w:val="12AF7CF8"/>
    <w:rsid w:val="12CF1390"/>
    <w:rsid w:val="13406D29"/>
    <w:rsid w:val="13792E4B"/>
    <w:rsid w:val="1381773D"/>
    <w:rsid w:val="13EE39FF"/>
    <w:rsid w:val="145E32D8"/>
    <w:rsid w:val="14B26B48"/>
    <w:rsid w:val="15214572"/>
    <w:rsid w:val="159E5748"/>
    <w:rsid w:val="15C2794A"/>
    <w:rsid w:val="1621148E"/>
    <w:rsid w:val="166F0853"/>
    <w:rsid w:val="167F3230"/>
    <w:rsid w:val="169F026D"/>
    <w:rsid w:val="16F15A7E"/>
    <w:rsid w:val="17192FD7"/>
    <w:rsid w:val="173E5486"/>
    <w:rsid w:val="177B5B15"/>
    <w:rsid w:val="17D338D9"/>
    <w:rsid w:val="17E469AD"/>
    <w:rsid w:val="17E52783"/>
    <w:rsid w:val="1889458A"/>
    <w:rsid w:val="18D12166"/>
    <w:rsid w:val="18DB2E5E"/>
    <w:rsid w:val="18FD6076"/>
    <w:rsid w:val="191A76E6"/>
    <w:rsid w:val="192A1E37"/>
    <w:rsid w:val="19557029"/>
    <w:rsid w:val="198F30EF"/>
    <w:rsid w:val="19C03042"/>
    <w:rsid w:val="19C570CB"/>
    <w:rsid w:val="1A296FCC"/>
    <w:rsid w:val="1A5368EC"/>
    <w:rsid w:val="1A6C0835"/>
    <w:rsid w:val="1A777139"/>
    <w:rsid w:val="1A782C5A"/>
    <w:rsid w:val="1A994755"/>
    <w:rsid w:val="1AD822DC"/>
    <w:rsid w:val="1B077116"/>
    <w:rsid w:val="1B255C0B"/>
    <w:rsid w:val="1B2A471D"/>
    <w:rsid w:val="1B3521FF"/>
    <w:rsid w:val="1B371870"/>
    <w:rsid w:val="1B5D54AE"/>
    <w:rsid w:val="1B725CBE"/>
    <w:rsid w:val="1B974C15"/>
    <w:rsid w:val="1B974E9C"/>
    <w:rsid w:val="1BA43AB1"/>
    <w:rsid w:val="1BCF7D90"/>
    <w:rsid w:val="1BF066C5"/>
    <w:rsid w:val="1BF525D2"/>
    <w:rsid w:val="1C2F7103"/>
    <w:rsid w:val="1C326B73"/>
    <w:rsid w:val="1C417090"/>
    <w:rsid w:val="1C9805B0"/>
    <w:rsid w:val="1CB050AC"/>
    <w:rsid w:val="1CBF1015"/>
    <w:rsid w:val="1CCD6306"/>
    <w:rsid w:val="1CD253F8"/>
    <w:rsid w:val="1CFB2D4E"/>
    <w:rsid w:val="1D442AF1"/>
    <w:rsid w:val="1D4F540F"/>
    <w:rsid w:val="1D531B94"/>
    <w:rsid w:val="1D6E14BB"/>
    <w:rsid w:val="1DBB2F14"/>
    <w:rsid w:val="1DC1035A"/>
    <w:rsid w:val="1DD50471"/>
    <w:rsid w:val="1DD85CFE"/>
    <w:rsid w:val="1DDB4D3A"/>
    <w:rsid w:val="1DE517D2"/>
    <w:rsid w:val="1E522714"/>
    <w:rsid w:val="1E5C7BB7"/>
    <w:rsid w:val="1E696DA3"/>
    <w:rsid w:val="1E787DDC"/>
    <w:rsid w:val="1ED13872"/>
    <w:rsid w:val="1F053E5A"/>
    <w:rsid w:val="1F065B18"/>
    <w:rsid w:val="1F3733F1"/>
    <w:rsid w:val="1F3E2305"/>
    <w:rsid w:val="1F9313A2"/>
    <w:rsid w:val="1F9435FF"/>
    <w:rsid w:val="1F995CD5"/>
    <w:rsid w:val="1FDC7CB3"/>
    <w:rsid w:val="20262A31"/>
    <w:rsid w:val="203A28AD"/>
    <w:rsid w:val="20434C3C"/>
    <w:rsid w:val="205C540F"/>
    <w:rsid w:val="20AA2325"/>
    <w:rsid w:val="20AD4A41"/>
    <w:rsid w:val="20C83528"/>
    <w:rsid w:val="2134254B"/>
    <w:rsid w:val="21650376"/>
    <w:rsid w:val="216650FD"/>
    <w:rsid w:val="217E30A4"/>
    <w:rsid w:val="21A2448E"/>
    <w:rsid w:val="21A81956"/>
    <w:rsid w:val="21CA60AD"/>
    <w:rsid w:val="21E70A01"/>
    <w:rsid w:val="22617F67"/>
    <w:rsid w:val="22961B3E"/>
    <w:rsid w:val="229C12E5"/>
    <w:rsid w:val="22EA24E7"/>
    <w:rsid w:val="22F0595E"/>
    <w:rsid w:val="233C176C"/>
    <w:rsid w:val="234220A0"/>
    <w:rsid w:val="23C26BC0"/>
    <w:rsid w:val="23D40460"/>
    <w:rsid w:val="23E40119"/>
    <w:rsid w:val="247003C4"/>
    <w:rsid w:val="247730AF"/>
    <w:rsid w:val="247F2571"/>
    <w:rsid w:val="24947D32"/>
    <w:rsid w:val="24991BB6"/>
    <w:rsid w:val="24A544D9"/>
    <w:rsid w:val="24F91E9E"/>
    <w:rsid w:val="250157F6"/>
    <w:rsid w:val="25066FD7"/>
    <w:rsid w:val="252E0C69"/>
    <w:rsid w:val="257137F3"/>
    <w:rsid w:val="25911DF8"/>
    <w:rsid w:val="25B20674"/>
    <w:rsid w:val="25C77246"/>
    <w:rsid w:val="261700B7"/>
    <w:rsid w:val="262B0AF2"/>
    <w:rsid w:val="264357E8"/>
    <w:rsid w:val="26790360"/>
    <w:rsid w:val="268647F7"/>
    <w:rsid w:val="26871280"/>
    <w:rsid w:val="269B4EE7"/>
    <w:rsid w:val="26BC1CF8"/>
    <w:rsid w:val="27926AAF"/>
    <w:rsid w:val="27D02558"/>
    <w:rsid w:val="27DC296A"/>
    <w:rsid w:val="27EC3584"/>
    <w:rsid w:val="27F27E71"/>
    <w:rsid w:val="28725902"/>
    <w:rsid w:val="28B22DCC"/>
    <w:rsid w:val="28DB6EC6"/>
    <w:rsid w:val="29025725"/>
    <w:rsid w:val="290C484A"/>
    <w:rsid w:val="290F1D94"/>
    <w:rsid w:val="2974517B"/>
    <w:rsid w:val="29843F74"/>
    <w:rsid w:val="29920E44"/>
    <w:rsid w:val="29B309F3"/>
    <w:rsid w:val="29B31CAD"/>
    <w:rsid w:val="2A502995"/>
    <w:rsid w:val="2A615A57"/>
    <w:rsid w:val="2A676798"/>
    <w:rsid w:val="2A731EC9"/>
    <w:rsid w:val="2B261A33"/>
    <w:rsid w:val="2B533A01"/>
    <w:rsid w:val="2BB20DE6"/>
    <w:rsid w:val="2BB964B6"/>
    <w:rsid w:val="2C012223"/>
    <w:rsid w:val="2C1514A5"/>
    <w:rsid w:val="2C1700DD"/>
    <w:rsid w:val="2C2F6C5F"/>
    <w:rsid w:val="2C360AAF"/>
    <w:rsid w:val="2C4E5C60"/>
    <w:rsid w:val="2C6E7DD4"/>
    <w:rsid w:val="2C9C1A0A"/>
    <w:rsid w:val="2CDB5F9C"/>
    <w:rsid w:val="2D073262"/>
    <w:rsid w:val="2D1F3D1F"/>
    <w:rsid w:val="2D532845"/>
    <w:rsid w:val="2D546973"/>
    <w:rsid w:val="2D6E5A5B"/>
    <w:rsid w:val="2D902DD0"/>
    <w:rsid w:val="2DF43207"/>
    <w:rsid w:val="2DF706F9"/>
    <w:rsid w:val="2DF713B2"/>
    <w:rsid w:val="2DFD6B9B"/>
    <w:rsid w:val="2E48129D"/>
    <w:rsid w:val="2E855F7D"/>
    <w:rsid w:val="2E9F46F7"/>
    <w:rsid w:val="2ED31152"/>
    <w:rsid w:val="2ED45AFB"/>
    <w:rsid w:val="2EF639A6"/>
    <w:rsid w:val="2F0C3F4E"/>
    <w:rsid w:val="2F224112"/>
    <w:rsid w:val="2F707E2D"/>
    <w:rsid w:val="2F731EA4"/>
    <w:rsid w:val="2F9E5057"/>
    <w:rsid w:val="2FB04C7A"/>
    <w:rsid w:val="2FC60E01"/>
    <w:rsid w:val="2FFB24CB"/>
    <w:rsid w:val="30395101"/>
    <w:rsid w:val="305033E1"/>
    <w:rsid w:val="306342E2"/>
    <w:rsid w:val="30786263"/>
    <w:rsid w:val="309E4F5A"/>
    <w:rsid w:val="30DB4E75"/>
    <w:rsid w:val="30E300DF"/>
    <w:rsid w:val="31171CD0"/>
    <w:rsid w:val="31261C67"/>
    <w:rsid w:val="312A1DA4"/>
    <w:rsid w:val="312F50AE"/>
    <w:rsid w:val="31647FCD"/>
    <w:rsid w:val="316B5C5B"/>
    <w:rsid w:val="31712D85"/>
    <w:rsid w:val="317A31D1"/>
    <w:rsid w:val="317B1CDD"/>
    <w:rsid w:val="31887E52"/>
    <w:rsid w:val="3193013B"/>
    <w:rsid w:val="31DB0802"/>
    <w:rsid w:val="3205609A"/>
    <w:rsid w:val="321A47C4"/>
    <w:rsid w:val="327B1F79"/>
    <w:rsid w:val="32CB41B2"/>
    <w:rsid w:val="32DF491A"/>
    <w:rsid w:val="32E16545"/>
    <w:rsid w:val="32ED362F"/>
    <w:rsid w:val="330209D7"/>
    <w:rsid w:val="334164D4"/>
    <w:rsid w:val="33455FD3"/>
    <w:rsid w:val="334D5B39"/>
    <w:rsid w:val="33CF0926"/>
    <w:rsid w:val="33E55DB6"/>
    <w:rsid w:val="33E76A91"/>
    <w:rsid w:val="340B7F43"/>
    <w:rsid w:val="341165A1"/>
    <w:rsid w:val="341A7AD7"/>
    <w:rsid w:val="342C0036"/>
    <w:rsid w:val="344D6B3C"/>
    <w:rsid w:val="3469656D"/>
    <w:rsid w:val="34AB75A8"/>
    <w:rsid w:val="34CA215C"/>
    <w:rsid w:val="34D27988"/>
    <w:rsid w:val="34F6775C"/>
    <w:rsid w:val="35130CAC"/>
    <w:rsid w:val="35303EDD"/>
    <w:rsid w:val="356632BF"/>
    <w:rsid w:val="35696063"/>
    <w:rsid w:val="35711D82"/>
    <w:rsid w:val="357C52EE"/>
    <w:rsid w:val="35E44C69"/>
    <w:rsid w:val="360A7DAE"/>
    <w:rsid w:val="36126594"/>
    <w:rsid w:val="361F254C"/>
    <w:rsid w:val="362C4430"/>
    <w:rsid w:val="36A059BA"/>
    <w:rsid w:val="36C54EC8"/>
    <w:rsid w:val="36E3437A"/>
    <w:rsid w:val="370B3332"/>
    <w:rsid w:val="37225CB1"/>
    <w:rsid w:val="37333D98"/>
    <w:rsid w:val="374369C5"/>
    <w:rsid w:val="375861D0"/>
    <w:rsid w:val="375C2CAF"/>
    <w:rsid w:val="377B5142"/>
    <w:rsid w:val="377E05E0"/>
    <w:rsid w:val="37C17479"/>
    <w:rsid w:val="37D81B6B"/>
    <w:rsid w:val="37DD17B8"/>
    <w:rsid w:val="37F95574"/>
    <w:rsid w:val="38331296"/>
    <w:rsid w:val="384C4CF4"/>
    <w:rsid w:val="38546148"/>
    <w:rsid w:val="385D6F95"/>
    <w:rsid w:val="38785A53"/>
    <w:rsid w:val="38962121"/>
    <w:rsid w:val="38E75FD4"/>
    <w:rsid w:val="39030DF4"/>
    <w:rsid w:val="390407A6"/>
    <w:rsid w:val="390A27CA"/>
    <w:rsid w:val="39315B61"/>
    <w:rsid w:val="397D7E23"/>
    <w:rsid w:val="39924F6A"/>
    <w:rsid w:val="39D37513"/>
    <w:rsid w:val="39EB4BD1"/>
    <w:rsid w:val="3A24105E"/>
    <w:rsid w:val="3A3733C1"/>
    <w:rsid w:val="3A57330C"/>
    <w:rsid w:val="3A6C2D53"/>
    <w:rsid w:val="3A6F6723"/>
    <w:rsid w:val="3A7B7735"/>
    <w:rsid w:val="3A9F5077"/>
    <w:rsid w:val="3B3D0BE1"/>
    <w:rsid w:val="3B610604"/>
    <w:rsid w:val="3B8A7808"/>
    <w:rsid w:val="3B92575C"/>
    <w:rsid w:val="3BBF37D8"/>
    <w:rsid w:val="3BC8176E"/>
    <w:rsid w:val="3BC95DD2"/>
    <w:rsid w:val="3C0261CB"/>
    <w:rsid w:val="3C276D36"/>
    <w:rsid w:val="3C473B5F"/>
    <w:rsid w:val="3C5A7499"/>
    <w:rsid w:val="3C73640D"/>
    <w:rsid w:val="3C815460"/>
    <w:rsid w:val="3C8A3E00"/>
    <w:rsid w:val="3C976620"/>
    <w:rsid w:val="3CF369EB"/>
    <w:rsid w:val="3D280A9E"/>
    <w:rsid w:val="3D32344D"/>
    <w:rsid w:val="3D3F26AB"/>
    <w:rsid w:val="3D466511"/>
    <w:rsid w:val="3DA709EA"/>
    <w:rsid w:val="3DB14925"/>
    <w:rsid w:val="3DF943A7"/>
    <w:rsid w:val="3E1945A7"/>
    <w:rsid w:val="3E844D20"/>
    <w:rsid w:val="3EAF504C"/>
    <w:rsid w:val="3EF66B14"/>
    <w:rsid w:val="3EF91A4B"/>
    <w:rsid w:val="3F050FEC"/>
    <w:rsid w:val="3F443BCC"/>
    <w:rsid w:val="3FAA4DA7"/>
    <w:rsid w:val="3FDB157D"/>
    <w:rsid w:val="3FDB3D0E"/>
    <w:rsid w:val="3FE12E6C"/>
    <w:rsid w:val="40156C52"/>
    <w:rsid w:val="40287A22"/>
    <w:rsid w:val="404965A5"/>
    <w:rsid w:val="40730E67"/>
    <w:rsid w:val="4084587A"/>
    <w:rsid w:val="409174C8"/>
    <w:rsid w:val="40BB1515"/>
    <w:rsid w:val="40BD7CD4"/>
    <w:rsid w:val="40FB02EC"/>
    <w:rsid w:val="41A16D9A"/>
    <w:rsid w:val="41AD1916"/>
    <w:rsid w:val="42102DF1"/>
    <w:rsid w:val="42166426"/>
    <w:rsid w:val="42833681"/>
    <w:rsid w:val="428A676A"/>
    <w:rsid w:val="42E61E68"/>
    <w:rsid w:val="42FF1645"/>
    <w:rsid w:val="43011E58"/>
    <w:rsid w:val="430D2AFD"/>
    <w:rsid w:val="4324020B"/>
    <w:rsid w:val="435C1C47"/>
    <w:rsid w:val="436A14E4"/>
    <w:rsid w:val="437F4A3E"/>
    <w:rsid w:val="43C7549D"/>
    <w:rsid w:val="43CB42EE"/>
    <w:rsid w:val="43CC2245"/>
    <w:rsid w:val="441B7437"/>
    <w:rsid w:val="446A7F09"/>
    <w:rsid w:val="448D7223"/>
    <w:rsid w:val="44F15D8A"/>
    <w:rsid w:val="45472EB0"/>
    <w:rsid w:val="45900BAD"/>
    <w:rsid w:val="45974819"/>
    <w:rsid w:val="45BF5FA5"/>
    <w:rsid w:val="45C717E2"/>
    <w:rsid w:val="46152953"/>
    <w:rsid w:val="46290783"/>
    <w:rsid w:val="463955BF"/>
    <w:rsid w:val="46634529"/>
    <w:rsid w:val="4683302C"/>
    <w:rsid w:val="46992912"/>
    <w:rsid w:val="46A4317C"/>
    <w:rsid w:val="46C67BF8"/>
    <w:rsid w:val="471A7BAB"/>
    <w:rsid w:val="475247E4"/>
    <w:rsid w:val="476D2410"/>
    <w:rsid w:val="47865CFA"/>
    <w:rsid w:val="47955CFE"/>
    <w:rsid w:val="47B03E75"/>
    <w:rsid w:val="48655699"/>
    <w:rsid w:val="48903C4C"/>
    <w:rsid w:val="48A7345A"/>
    <w:rsid w:val="48BE5DE0"/>
    <w:rsid w:val="48D14472"/>
    <w:rsid w:val="49130461"/>
    <w:rsid w:val="491E42FC"/>
    <w:rsid w:val="493C322E"/>
    <w:rsid w:val="49B42471"/>
    <w:rsid w:val="4A6F0074"/>
    <w:rsid w:val="4A720B3B"/>
    <w:rsid w:val="4A9F0DEA"/>
    <w:rsid w:val="4AB8778A"/>
    <w:rsid w:val="4ACF3B54"/>
    <w:rsid w:val="4AD0721E"/>
    <w:rsid w:val="4AEB6D22"/>
    <w:rsid w:val="4B10700E"/>
    <w:rsid w:val="4B253066"/>
    <w:rsid w:val="4B277084"/>
    <w:rsid w:val="4B322A66"/>
    <w:rsid w:val="4B3C2762"/>
    <w:rsid w:val="4B57098F"/>
    <w:rsid w:val="4B766967"/>
    <w:rsid w:val="4BBE6BF7"/>
    <w:rsid w:val="4BE64143"/>
    <w:rsid w:val="4BEB379C"/>
    <w:rsid w:val="4BF217EE"/>
    <w:rsid w:val="4C034393"/>
    <w:rsid w:val="4C0373A4"/>
    <w:rsid w:val="4C092E36"/>
    <w:rsid w:val="4C554B0F"/>
    <w:rsid w:val="4C864931"/>
    <w:rsid w:val="4C98410B"/>
    <w:rsid w:val="4CA967E4"/>
    <w:rsid w:val="4CAE4C39"/>
    <w:rsid w:val="4CF22EA5"/>
    <w:rsid w:val="4D095762"/>
    <w:rsid w:val="4D2A16A3"/>
    <w:rsid w:val="4D4D4651"/>
    <w:rsid w:val="4D6819E5"/>
    <w:rsid w:val="4D745DA5"/>
    <w:rsid w:val="4D995C2E"/>
    <w:rsid w:val="4DB61B81"/>
    <w:rsid w:val="4DC45662"/>
    <w:rsid w:val="4DEC7C9A"/>
    <w:rsid w:val="4DF3662F"/>
    <w:rsid w:val="4E6101B4"/>
    <w:rsid w:val="4E960652"/>
    <w:rsid w:val="4E995AE1"/>
    <w:rsid w:val="4F84296C"/>
    <w:rsid w:val="4F9010C8"/>
    <w:rsid w:val="4F9C261F"/>
    <w:rsid w:val="4FC6639C"/>
    <w:rsid w:val="4FD27522"/>
    <w:rsid w:val="4FE8554D"/>
    <w:rsid w:val="50226A3C"/>
    <w:rsid w:val="50285F99"/>
    <w:rsid w:val="50A248C1"/>
    <w:rsid w:val="50B03AC4"/>
    <w:rsid w:val="50FD0336"/>
    <w:rsid w:val="51187A29"/>
    <w:rsid w:val="51204801"/>
    <w:rsid w:val="5129577D"/>
    <w:rsid w:val="51531021"/>
    <w:rsid w:val="51853277"/>
    <w:rsid w:val="51A01C0D"/>
    <w:rsid w:val="51DB4B23"/>
    <w:rsid w:val="51DB6198"/>
    <w:rsid w:val="523F52FF"/>
    <w:rsid w:val="524B38F1"/>
    <w:rsid w:val="52B3021B"/>
    <w:rsid w:val="52C172D2"/>
    <w:rsid w:val="52C6108D"/>
    <w:rsid w:val="52E0448D"/>
    <w:rsid w:val="53075A3F"/>
    <w:rsid w:val="531416B3"/>
    <w:rsid w:val="532740F4"/>
    <w:rsid w:val="535810CF"/>
    <w:rsid w:val="539A4992"/>
    <w:rsid w:val="53F617B0"/>
    <w:rsid w:val="53F74740"/>
    <w:rsid w:val="54891CE5"/>
    <w:rsid w:val="54EC2C94"/>
    <w:rsid w:val="554328D4"/>
    <w:rsid w:val="555674FD"/>
    <w:rsid w:val="5568611C"/>
    <w:rsid w:val="558A455F"/>
    <w:rsid w:val="55C031B2"/>
    <w:rsid w:val="55C10200"/>
    <w:rsid w:val="55D746A2"/>
    <w:rsid w:val="560D711E"/>
    <w:rsid w:val="5632713C"/>
    <w:rsid w:val="56810982"/>
    <w:rsid w:val="568D353D"/>
    <w:rsid w:val="56EE242A"/>
    <w:rsid w:val="56F6307C"/>
    <w:rsid w:val="573C3A4E"/>
    <w:rsid w:val="575E7C1C"/>
    <w:rsid w:val="578E4FFE"/>
    <w:rsid w:val="579F7D9F"/>
    <w:rsid w:val="57AB36B3"/>
    <w:rsid w:val="57EB293F"/>
    <w:rsid w:val="582B3397"/>
    <w:rsid w:val="58674DA7"/>
    <w:rsid w:val="5893723C"/>
    <w:rsid w:val="58A92804"/>
    <w:rsid w:val="58AC0949"/>
    <w:rsid w:val="58C06FB1"/>
    <w:rsid w:val="58F969DB"/>
    <w:rsid w:val="595A2EBD"/>
    <w:rsid w:val="595E59A3"/>
    <w:rsid w:val="596D3953"/>
    <w:rsid w:val="597527F7"/>
    <w:rsid w:val="597B4C59"/>
    <w:rsid w:val="59946052"/>
    <w:rsid w:val="59984D95"/>
    <w:rsid w:val="59CC6F13"/>
    <w:rsid w:val="59EB40E8"/>
    <w:rsid w:val="59FA4FFD"/>
    <w:rsid w:val="5A66625A"/>
    <w:rsid w:val="5A766990"/>
    <w:rsid w:val="5AB44326"/>
    <w:rsid w:val="5ABC1450"/>
    <w:rsid w:val="5AC62BD7"/>
    <w:rsid w:val="5AF9687E"/>
    <w:rsid w:val="5B09167B"/>
    <w:rsid w:val="5B257A28"/>
    <w:rsid w:val="5B355653"/>
    <w:rsid w:val="5B3759D0"/>
    <w:rsid w:val="5B656EFA"/>
    <w:rsid w:val="5B792298"/>
    <w:rsid w:val="5B8A022A"/>
    <w:rsid w:val="5B997D0C"/>
    <w:rsid w:val="5C3170D5"/>
    <w:rsid w:val="5C477CA0"/>
    <w:rsid w:val="5C80600E"/>
    <w:rsid w:val="5CAF10E3"/>
    <w:rsid w:val="5CD4054A"/>
    <w:rsid w:val="5CD9099F"/>
    <w:rsid w:val="5CF56308"/>
    <w:rsid w:val="5CFB1BD4"/>
    <w:rsid w:val="5D004305"/>
    <w:rsid w:val="5D47578A"/>
    <w:rsid w:val="5D4B750D"/>
    <w:rsid w:val="5D544626"/>
    <w:rsid w:val="5D556D92"/>
    <w:rsid w:val="5D7A0E72"/>
    <w:rsid w:val="5DBC06BE"/>
    <w:rsid w:val="5DC66111"/>
    <w:rsid w:val="5E45323F"/>
    <w:rsid w:val="5E6C440E"/>
    <w:rsid w:val="5E70040B"/>
    <w:rsid w:val="5EB65E15"/>
    <w:rsid w:val="5EBB49EB"/>
    <w:rsid w:val="5ED8385C"/>
    <w:rsid w:val="5EF72AB9"/>
    <w:rsid w:val="5EF7605D"/>
    <w:rsid w:val="5F0127BC"/>
    <w:rsid w:val="5F6F4E0C"/>
    <w:rsid w:val="5FA673F1"/>
    <w:rsid w:val="60135416"/>
    <w:rsid w:val="60177CB0"/>
    <w:rsid w:val="604A3287"/>
    <w:rsid w:val="60706244"/>
    <w:rsid w:val="60785365"/>
    <w:rsid w:val="60796930"/>
    <w:rsid w:val="607F6F1C"/>
    <w:rsid w:val="60A91869"/>
    <w:rsid w:val="60A926C3"/>
    <w:rsid w:val="60D6088F"/>
    <w:rsid w:val="60DC5F88"/>
    <w:rsid w:val="60F056F4"/>
    <w:rsid w:val="61356070"/>
    <w:rsid w:val="6155346D"/>
    <w:rsid w:val="61860051"/>
    <w:rsid w:val="61A20B1D"/>
    <w:rsid w:val="61BC6D1C"/>
    <w:rsid w:val="61EB0354"/>
    <w:rsid w:val="620712CA"/>
    <w:rsid w:val="62185AD2"/>
    <w:rsid w:val="625A7CA1"/>
    <w:rsid w:val="626A4E55"/>
    <w:rsid w:val="62971CA6"/>
    <w:rsid w:val="62A80E2E"/>
    <w:rsid w:val="62AE6EAD"/>
    <w:rsid w:val="62AE7AC2"/>
    <w:rsid w:val="62B5496E"/>
    <w:rsid w:val="62DA38E2"/>
    <w:rsid w:val="633E3602"/>
    <w:rsid w:val="635D3AAD"/>
    <w:rsid w:val="63737EFA"/>
    <w:rsid w:val="637D0AE0"/>
    <w:rsid w:val="638B15FC"/>
    <w:rsid w:val="63BB1162"/>
    <w:rsid w:val="63BF6888"/>
    <w:rsid w:val="63E83769"/>
    <w:rsid w:val="63EB405F"/>
    <w:rsid w:val="63F21BAF"/>
    <w:rsid w:val="6494263E"/>
    <w:rsid w:val="64E92D37"/>
    <w:rsid w:val="6523190B"/>
    <w:rsid w:val="65373600"/>
    <w:rsid w:val="655C3B64"/>
    <w:rsid w:val="657D5991"/>
    <w:rsid w:val="65A278B0"/>
    <w:rsid w:val="65B43907"/>
    <w:rsid w:val="65D46AF0"/>
    <w:rsid w:val="65DE0C98"/>
    <w:rsid w:val="65E26BED"/>
    <w:rsid w:val="660D2CAC"/>
    <w:rsid w:val="666F5A0A"/>
    <w:rsid w:val="66AA44B6"/>
    <w:rsid w:val="66AF174D"/>
    <w:rsid w:val="66B95D15"/>
    <w:rsid w:val="66F9704C"/>
    <w:rsid w:val="67414D43"/>
    <w:rsid w:val="6743704F"/>
    <w:rsid w:val="67A51B36"/>
    <w:rsid w:val="67A911CB"/>
    <w:rsid w:val="67C1217E"/>
    <w:rsid w:val="67C27EB0"/>
    <w:rsid w:val="67E551BF"/>
    <w:rsid w:val="67E7631D"/>
    <w:rsid w:val="68195A22"/>
    <w:rsid w:val="68274B97"/>
    <w:rsid w:val="68792BE5"/>
    <w:rsid w:val="6890283B"/>
    <w:rsid w:val="68AC3625"/>
    <w:rsid w:val="68D20200"/>
    <w:rsid w:val="68D90873"/>
    <w:rsid w:val="68ED0888"/>
    <w:rsid w:val="69756F07"/>
    <w:rsid w:val="69A41FE6"/>
    <w:rsid w:val="69B435F3"/>
    <w:rsid w:val="6A0275FD"/>
    <w:rsid w:val="6A080E43"/>
    <w:rsid w:val="6A3403B5"/>
    <w:rsid w:val="6A695BE1"/>
    <w:rsid w:val="6AA046F1"/>
    <w:rsid w:val="6AC13D57"/>
    <w:rsid w:val="6AE34C91"/>
    <w:rsid w:val="6AEA2BE0"/>
    <w:rsid w:val="6AF6783B"/>
    <w:rsid w:val="6B4210F5"/>
    <w:rsid w:val="6B614914"/>
    <w:rsid w:val="6B781421"/>
    <w:rsid w:val="6BAF6844"/>
    <w:rsid w:val="6BC156B1"/>
    <w:rsid w:val="6BDB381C"/>
    <w:rsid w:val="6BE45F63"/>
    <w:rsid w:val="6C464F57"/>
    <w:rsid w:val="6C7C53B4"/>
    <w:rsid w:val="6C892F19"/>
    <w:rsid w:val="6CB37391"/>
    <w:rsid w:val="6CB639EB"/>
    <w:rsid w:val="6D362EEC"/>
    <w:rsid w:val="6D6F36C5"/>
    <w:rsid w:val="6D8D776A"/>
    <w:rsid w:val="6D8F47CA"/>
    <w:rsid w:val="6DE03D91"/>
    <w:rsid w:val="6E5A13CA"/>
    <w:rsid w:val="6E635B14"/>
    <w:rsid w:val="6E9024C3"/>
    <w:rsid w:val="6F0E28DC"/>
    <w:rsid w:val="6F723F77"/>
    <w:rsid w:val="6FAA629D"/>
    <w:rsid w:val="70175AA6"/>
    <w:rsid w:val="70955CFF"/>
    <w:rsid w:val="70A36BE5"/>
    <w:rsid w:val="70C9581F"/>
    <w:rsid w:val="70F23CBA"/>
    <w:rsid w:val="71B615FF"/>
    <w:rsid w:val="71C43268"/>
    <w:rsid w:val="71E1515E"/>
    <w:rsid w:val="72023307"/>
    <w:rsid w:val="720D190C"/>
    <w:rsid w:val="727713C3"/>
    <w:rsid w:val="72C555B5"/>
    <w:rsid w:val="731F4792"/>
    <w:rsid w:val="733D7B76"/>
    <w:rsid w:val="735D35B6"/>
    <w:rsid w:val="738F5BAC"/>
    <w:rsid w:val="73962583"/>
    <w:rsid w:val="73A5201D"/>
    <w:rsid w:val="73C95951"/>
    <w:rsid w:val="73DD7424"/>
    <w:rsid w:val="741053E7"/>
    <w:rsid w:val="742B15FB"/>
    <w:rsid w:val="748C5895"/>
    <w:rsid w:val="749D225D"/>
    <w:rsid w:val="74A25946"/>
    <w:rsid w:val="74A43E2C"/>
    <w:rsid w:val="74C551F0"/>
    <w:rsid w:val="74DC5EEC"/>
    <w:rsid w:val="74FC0EE9"/>
    <w:rsid w:val="751D33AA"/>
    <w:rsid w:val="755A55ED"/>
    <w:rsid w:val="755D7FF4"/>
    <w:rsid w:val="75614B6F"/>
    <w:rsid w:val="756B0135"/>
    <w:rsid w:val="756F5CC6"/>
    <w:rsid w:val="75C71A18"/>
    <w:rsid w:val="75E50176"/>
    <w:rsid w:val="75EA768C"/>
    <w:rsid w:val="75F25214"/>
    <w:rsid w:val="762C34E6"/>
    <w:rsid w:val="76301C7E"/>
    <w:rsid w:val="76434CA5"/>
    <w:rsid w:val="766759C9"/>
    <w:rsid w:val="76B55367"/>
    <w:rsid w:val="76E01BF1"/>
    <w:rsid w:val="76EE41C2"/>
    <w:rsid w:val="76F51AB7"/>
    <w:rsid w:val="77834910"/>
    <w:rsid w:val="7799546B"/>
    <w:rsid w:val="779B152F"/>
    <w:rsid w:val="77B74152"/>
    <w:rsid w:val="77CD6CE7"/>
    <w:rsid w:val="77D746EF"/>
    <w:rsid w:val="77EA6E37"/>
    <w:rsid w:val="78382B49"/>
    <w:rsid w:val="783B516A"/>
    <w:rsid w:val="784B7CAE"/>
    <w:rsid w:val="78583F1A"/>
    <w:rsid w:val="7877376C"/>
    <w:rsid w:val="787A753A"/>
    <w:rsid w:val="78917FFE"/>
    <w:rsid w:val="78EB4155"/>
    <w:rsid w:val="792501D4"/>
    <w:rsid w:val="792912C2"/>
    <w:rsid w:val="7938239F"/>
    <w:rsid w:val="79790423"/>
    <w:rsid w:val="797933C2"/>
    <w:rsid w:val="79ED1305"/>
    <w:rsid w:val="79F77FFD"/>
    <w:rsid w:val="7A01143B"/>
    <w:rsid w:val="7A025087"/>
    <w:rsid w:val="7AAB6369"/>
    <w:rsid w:val="7AB11D3D"/>
    <w:rsid w:val="7AB262E9"/>
    <w:rsid w:val="7AD57F2B"/>
    <w:rsid w:val="7AE138FF"/>
    <w:rsid w:val="7B55123D"/>
    <w:rsid w:val="7BD80816"/>
    <w:rsid w:val="7C67660F"/>
    <w:rsid w:val="7C6B7766"/>
    <w:rsid w:val="7C997EF3"/>
    <w:rsid w:val="7CB258CE"/>
    <w:rsid w:val="7CD20C1C"/>
    <w:rsid w:val="7D02400C"/>
    <w:rsid w:val="7D360F7D"/>
    <w:rsid w:val="7D702238"/>
    <w:rsid w:val="7D767815"/>
    <w:rsid w:val="7DAD6E1F"/>
    <w:rsid w:val="7DCE5F9A"/>
    <w:rsid w:val="7DE0302A"/>
    <w:rsid w:val="7DE34253"/>
    <w:rsid w:val="7E1852B6"/>
    <w:rsid w:val="7E3F45C4"/>
    <w:rsid w:val="7E635550"/>
    <w:rsid w:val="7EB07DB0"/>
    <w:rsid w:val="7EB1258D"/>
    <w:rsid w:val="7EDD7326"/>
    <w:rsid w:val="7EFC6171"/>
    <w:rsid w:val="7F212EF2"/>
    <w:rsid w:val="7F2A522B"/>
    <w:rsid w:val="7F342351"/>
    <w:rsid w:val="7F676CB7"/>
    <w:rsid w:val="7F75348E"/>
    <w:rsid w:val="7F904BE3"/>
    <w:rsid w:val="7FA61808"/>
    <w:rsid w:val="7FB1165F"/>
    <w:rsid w:val="7FD532A6"/>
    <w:rsid w:val="7FD60607"/>
    <w:rsid w:val="7FFC1E0A"/>
    <w:rsid w:val="7FFE3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footnote reference"/>
    <w:basedOn w:val="7"/>
    <w:qFormat/>
    <w:uiPriority w:val="0"/>
    <w:rPr>
      <w:vertAlign w:val="superscript"/>
    </w:rPr>
  </w:style>
  <w:style w:type="character" w:customStyle="1" w:styleId="10">
    <w:name w:val="font21"/>
    <w:basedOn w:val="7"/>
    <w:qFormat/>
    <w:uiPriority w:val="0"/>
    <w:rPr>
      <w:rFonts w:hint="default" w:ascii="Segoe UI" w:hAnsi="Segoe UI" w:eastAsia="Segoe UI" w:cs="Segoe UI"/>
      <w:color w:val="000000"/>
      <w:sz w:val="24"/>
      <w:szCs w:val="24"/>
      <w:u w:val="none"/>
    </w:rPr>
  </w:style>
  <w:style w:type="character" w:customStyle="1" w:styleId="11">
    <w:name w:val="font3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8158</Words>
  <Characters>8411</Characters>
  <Lines>0</Lines>
  <Paragraphs>0</Paragraphs>
  <TotalTime>0</TotalTime>
  <ScaleCrop>false</ScaleCrop>
  <LinksUpToDate>false</LinksUpToDate>
  <CharactersWithSpaces>8411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2025-06-22T02:37:00Z</dcterms:created>
  <dc:creator>1</dc:creator>
  <cp:lastModifiedBy>1</cp:lastModifiedBy>
  <dcterms:modified xsi:type="dcterms:W3CDTF">2025-06-25T02:45:18Z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D986D046088A4C0D8309E7EEC12AB3C8_13</vt:lpwstr>
  </property>
  <property fmtid="{D5CDD505-2E9C-101B-9397-08002B2CF9AE}" pid="4" name="KSOTemplateDocerSaveRecord">
    <vt:lpwstr>eyJoZGlkIjoiMzEwNTM5NzYwMDRjMzkwZTVkZjY2ODkwMGIxNGU0OTUiLCJ1c2VySWQiOiIyMzExMDU3MTQifQ==</vt:lpwstr>
  </property>
</Properties>
</file>