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B17A9DF">
      <w:pPr>
        <w:jc w:val="center"/>
        <w:rPr>
          <w:rFonts w:ascii="宋体" w:hAnsi="宋体" w:eastAsia="宋体"/>
          <w:b/>
          <w:bCs/>
          <w:sz w:val="36"/>
          <w:szCs w:val="32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ascii="宋体" w:hAnsi="宋体" w:eastAsia="宋体"/>
          <w:b/>
          <w:bCs/>
          <w:sz w:val="36"/>
          <w:szCs w:val="32"/>
        </w:rPr>
        <w:t xml:space="preserve">9 </w:t>
      </w:r>
      <w:r>
        <w:rPr>
          <w:rFonts w:hint="eastAsia" w:ascii="宋体" w:hAnsi="宋体" w:eastAsia="宋体"/>
          <w:b/>
          <w:bCs/>
          <w:sz w:val="36"/>
          <w:szCs w:val="32"/>
        </w:rPr>
        <w:t>倪敏优秀教师培育室论文发表情况一览表</w:t>
      </w:r>
    </w:p>
    <w:p w14:paraId="75E6C7B5">
      <w:pPr>
        <w:jc w:val="center"/>
        <w:rPr>
          <w:rFonts w:ascii="宋体" w:hAnsi="宋体" w:eastAsia="宋体"/>
          <w:b/>
          <w:bCs/>
          <w:sz w:val="32"/>
          <w:szCs w:val="28"/>
        </w:rPr>
      </w:pPr>
    </w:p>
    <w:p w14:paraId="769F2104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省级论文发表汇总表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70761853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"/>
        <w:gridCol w:w="877"/>
        <w:gridCol w:w="7207"/>
        <w:gridCol w:w="1802"/>
        <w:gridCol w:w="1956"/>
        <w:gridCol w:w="1460"/>
      </w:tblGrid>
      <w:tr w14:paraId="4D7D8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</w:tcPr>
          <w:p w14:paraId="4C570F5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283DFBB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207" w:type="dxa"/>
          </w:tcPr>
          <w:p w14:paraId="2DF921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02" w:type="dxa"/>
          </w:tcPr>
          <w:p w14:paraId="0C331BF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56" w:type="dxa"/>
          </w:tcPr>
          <w:p w14:paraId="4AC2BA6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460" w:type="dxa"/>
          </w:tcPr>
          <w:p w14:paraId="0758B05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4F036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</w:tcPr>
          <w:p w14:paraId="783A484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67A81ED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施佳丽</w:t>
            </w:r>
          </w:p>
        </w:tc>
        <w:tc>
          <w:tcPr>
            <w:tcW w:w="7207" w:type="dxa"/>
            <w:vAlign w:val="center"/>
          </w:tcPr>
          <w:p w14:paraId="0E8C10C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立足多元表征 培养模型意识</w:t>
            </w:r>
          </w:p>
        </w:tc>
        <w:tc>
          <w:tcPr>
            <w:tcW w:w="1802" w:type="dxa"/>
          </w:tcPr>
          <w:p w14:paraId="6EEA1FD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2024.11</w:t>
            </w:r>
          </w:p>
        </w:tc>
        <w:tc>
          <w:tcPr>
            <w:tcW w:w="1956" w:type="dxa"/>
          </w:tcPr>
          <w:p w14:paraId="7A61E76E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小学数学教育</w:t>
            </w:r>
          </w:p>
        </w:tc>
        <w:tc>
          <w:tcPr>
            <w:tcW w:w="1460" w:type="dxa"/>
          </w:tcPr>
          <w:p w14:paraId="31BCED4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</w:tr>
      <w:tr w14:paraId="639B2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646" w:type="dxa"/>
          </w:tcPr>
          <w:p w14:paraId="0F2B39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2A3ED30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乔茜</w:t>
            </w:r>
          </w:p>
        </w:tc>
        <w:tc>
          <w:tcPr>
            <w:tcW w:w="7207" w:type="dxa"/>
            <w:vAlign w:val="center"/>
          </w:tcPr>
          <w:p w14:paraId="59E8266B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项目化学习视角下小学低段数学实践活动的设计与实施研究</w:t>
            </w:r>
          </w:p>
        </w:tc>
        <w:tc>
          <w:tcPr>
            <w:tcW w:w="1802" w:type="dxa"/>
          </w:tcPr>
          <w:p w14:paraId="364F7323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2024.08</w:t>
            </w:r>
          </w:p>
        </w:tc>
        <w:tc>
          <w:tcPr>
            <w:tcW w:w="1956" w:type="dxa"/>
          </w:tcPr>
          <w:p w14:paraId="65C0CCD8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教学与研究</w:t>
            </w:r>
          </w:p>
        </w:tc>
        <w:tc>
          <w:tcPr>
            <w:tcW w:w="1460" w:type="dxa"/>
          </w:tcPr>
          <w:p w14:paraId="4FD5CF45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国家级</w:t>
            </w:r>
          </w:p>
        </w:tc>
      </w:tr>
      <w:tr w14:paraId="7BD8F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</w:tcPr>
          <w:p w14:paraId="5252652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096075E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李羚</w:t>
            </w:r>
          </w:p>
        </w:tc>
        <w:tc>
          <w:tcPr>
            <w:tcW w:w="7207" w:type="dxa"/>
            <w:vAlign w:val="center"/>
          </w:tcPr>
          <w:p w14:paraId="414AFDC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《小学数学实践活动课程资源的开发与利用》</w:t>
            </w:r>
          </w:p>
        </w:tc>
        <w:tc>
          <w:tcPr>
            <w:tcW w:w="1802" w:type="dxa"/>
          </w:tcPr>
          <w:p w14:paraId="52A94CE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2024第12期</w:t>
            </w:r>
          </w:p>
        </w:tc>
        <w:tc>
          <w:tcPr>
            <w:tcW w:w="1956" w:type="dxa"/>
          </w:tcPr>
          <w:p w14:paraId="0E982E4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教学与研究</w:t>
            </w:r>
          </w:p>
        </w:tc>
        <w:tc>
          <w:tcPr>
            <w:tcW w:w="1460" w:type="dxa"/>
          </w:tcPr>
          <w:p w14:paraId="31AA607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</w:tr>
      <w:tr w14:paraId="321C0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</w:tcPr>
          <w:p w14:paraId="7AD27C7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77" w:type="dxa"/>
          </w:tcPr>
          <w:p w14:paraId="08C7AF48">
            <w:r>
              <w:rPr>
                <w:rFonts w:hint="eastAsia"/>
              </w:rPr>
              <w:t>巢一开</w:t>
            </w:r>
          </w:p>
        </w:tc>
        <w:tc>
          <w:tcPr>
            <w:tcW w:w="7207" w:type="dxa"/>
          </w:tcPr>
          <w:p w14:paraId="46AA1C4A">
            <w:r>
              <w:rPr>
                <w:rFonts w:hint="eastAsia"/>
              </w:rPr>
              <w:t>项目引领 促珠心算教育实验高质量发展</w:t>
            </w:r>
          </w:p>
        </w:tc>
        <w:tc>
          <w:tcPr>
            <w:tcW w:w="1802" w:type="dxa"/>
          </w:tcPr>
          <w:p w14:paraId="2514189B">
            <w:r>
              <w:rPr>
                <w:rFonts w:hint="eastAsia"/>
              </w:rPr>
              <w:t>2024.08</w:t>
            </w:r>
          </w:p>
        </w:tc>
        <w:tc>
          <w:tcPr>
            <w:tcW w:w="1956" w:type="dxa"/>
          </w:tcPr>
          <w:p w14:paraId="79BACCF5">
            <w:r>
              <w:rPr>
                <w:rFonts w:hint="eastAsia"/>
              </w:rPr>
              <w:t>珠算与珠心算</w:t>
            </w:r>
          </w:p>
        </w:tc>
        <w:tc>
          <w:tcPr>
            <w:tcW w:w="1460" w:type="dxa"/>
          </w:tcPr>
          <w:p w14:paraId="53F51DA6">
            <w:r>
              <w:rPr>
                <w:rFonts w:hint="eastAsia"/>
              </w:rPr>
              <w:t>省级</w:t>
            </w:r>
          </w:p>
        </w:tc>
      </w:tr>
      <w:tr w14:paraId="50676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</w:tcPr>
          <w:p w14:paraId="237D751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77" w:type="dxa"/>
          </w:tcPr>
          <w:p w14:paraId="1DA1EDFD">
            <w:r>
              <w:rPr>
                <w:rFonts w:hint="eastAsia"/>
              </w:rPr>
              <w:t>戴莉</w:t>
            </w:r>
          </w:p>
        </w:tc>
        <w:tc>
          <w:tcPr>
            <w:tcW w:w="7207" w:type="dxa"/>
          </w:tcPr>
          <w:p w14:paraId="72670E32">
            <w:pPr>
              <w:pBdr>
                <w:bottom w:val="none" w:color="auto" w:sz="0" w:space="0"/>
              </w:pBdr>
              <w:rPr>
                <w:rFonts w:hint="eastAsia"/>
              </w:rPr>
            </w:pPr>
            <w:r>
              <w:rPr>
                <w:rFonts w:hint="eastAsia"/>
              </w:rPr>
              <w:t>核心素养视域下乡村小学数学表达能力的培养策略</w:t>
            </w:r>
          </w:p>
        </w:tc>
        <w:tc>
          <w:tcPr>
            <w:tcW w:w="1802" w:type="dxa"/>
          </w:tcPr>
          <w:p w14:paraId="7F3836B7">
            <w:r>
              <w:rPr>
                <w:rFonts w:hint="eastAsia"/>
              </w:rPr>
              <w:t>2024.11</w:t>
            </w:r>
          </w:p>
        </w:tc>
        <w:tc>
          <w:tcPr>
            <w:tcW w:w="1956" w:type="dxa"/>
          </w:tcPr>
          <w:p w14:paraId="5A098A9B">
            <w:r>
              <w:rPr>
                <w:rFonts w:hint="eastAsia"/>
              </w:rPr>
              <w:t>教育考试与评价</w:t>
            </w:r>
          </w:p>
        </w:tc>
        <w:tc>
          <w:tcPr>
            <w:tcW w:w="1460" w:type="dxa"/>
          </w:tcPr>
          <w:p w14:paraId="26726F9F">
            <w:r>
              <w:rPr>
                <w:rFonts w:hint="eastAsia"/>
              </w:rPr>
              <w:t>省级</w:t>
            </w:r>
          </w:p>
        </w:tc>
      </w:tr>
      <w:tr w14:paraId="5ED31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</w:tcPr>
          <w:p w14:paraId="721D309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77" w:type="dxa"/>
          </w:tcPr>
          <w:p w14:paraId="59CC948A">
            <w:r>
              <w:rPr>
                <w:rFonts w:hint="eastAsia"/>
              </w:rPr>
              <w:t>易赛龙</w:t>
            </w:r>
          </w:p>
        </w:tc>
        <w:tc>
          <w:tcPr>
            <w:tcW w:w="7207" w:type="dxa"/>
          </w:tcPr>
          <w:p w14:paraId="2BC4BE4D">
            <w:r>
              <w:rPr>
                <w:rFonts w:hint="eastAsia"/>
              </w:rPr>
              <w:t>小学低段数学与科学跨学科主题学习的案例研究</w:t>
            </w:r>
          </w:p>
        </w:tc>
        <w:tc>
          <w:tcPr>
            <w:tcW w:w="1802" w:type="dxa"/>
          </w:tcPr>
          <w:p w14:paraId="338C89A1">
            <w:r>
              <w:rPr>
                <w:rFonts w:hint="eastAsia"/>
              </w:rPr>
              <w:t>2024.08</w:t>
            </w:r>
          </w:p>
        </w:tc>
        <w:tc>
          <w:tcPr>
            <w:tcW w:w="1956" w:type="dxa"/>
          </w:tcPr>
          <w:p w14:paraId="742C6BCA">
            <w:r>
              <w:rPr>
                <w:rFonts w:hint="eastAsia"/>
              </w:rPr>
              <w:t>中小学教育</w:t>
            </w:r>
          </w:p>
        </w:tc>
        <w:tc>
          <w:tcPr>
            <w:tcW w:w="1460" w:type="dxa"/>
          </w:tcPr>
          <w:p w14:paraId="5F385D0B">
            <w:r>
              <w:rPr>
                <w:rFonts w:hint="eastAsia"/>
              </w:rPr>
              <w:t>国家级</w:t>
            </w:r>
          </w:p>
        </w:tc>
      </w:tr>
      <w:tr w14:paraId="0848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</w:tcPr>
          <w:p w14:paraId="578EBA4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77" w:type="dxa"/>
          </w:tcPr>
          <w:p w14:paraId="7D9D79F4">
            <w:r>
              <w:rPr>
                <w:rFonts w:hint="eastAsia"/>
              </w:rPr>
              <w:t>刘孝玲</w:t>
            </w:r>
          </w:p>
        </w:tc>
        <w:tc>
          <w:tcPr>
            <w:tcW w:w="7207" w:type="dxa"/>
          </w:tcPr>
          <w:p w14:paraId="46EA8F5A">
            <w:r>
              <w:rPr>
                <w:rFonts w:hint="eastAsia"/>
              </w:rPr>
              <w:t>多元表征与真实情境问题结合的小学数学教学模式创新研究》</w:t>
            </w:r>
          </w:p>
        </w:tc>
        <w:tc>
          <w:tcPr>
            <w:tcW w:w="1802" w:type="dxa"/>
          </w:tcPr>
          <w:p w14:paraId="42328B25">
            <w:r>
              <w:rPr>
                <w:rFonts w:hint="eastAsia"/>
              </w:rPr>
              <w:t>2025.1</w:t>
            </w:r>
          </w:p>
        </w:tc>
        <w:tc>
          <w:tcPr>
            <w:tcW w:w="1956" w:type="dxa"/>
          </w:tcPr>
          <w:p w14:paraId="3B0386F0">
            <w:r>
              <w:rPr>
                <w:rFonts w:hint="eastAsia"/>
              </w:rPr>
              <w:t>教育考试与评价</w:t>
            </w:r>
          </w:p>
        </w:tc>
        <w:tc>
          <w:tcPr>
            <w:tcW w:w="1460" w:type="dxa"/>
          </w:tcPr>
          <w:p w14:paraId="5F35E540">
            <w:r>
              <w:rPr>
                <w:rFonts w:hint="eastAsia"/>
              </w:rPr>
              <w:t>省级</w:t>
            </w:r>
          </w:p>
        </w:tc>
      </w:tr>
      <w:tr w14:paraId="2CDDB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  <w:shd w:val="clear"/>
            <w:vAlign w:val="top"/>
          </w:tcPr>
          <w:p w14:paraId="495A315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8</w:t>
            </w:r>
          </w:p>
        </w:tc>
        <w:tc>
          <w:tcPr>
            <w:tcW w:w="877" w:type="dxa"/>
            <w:shd w:val="clear"/>
            <w:vAlign w:val="top"/>
          </w:tcPr>
          <w:p w14:paraId="4DF9098A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韩舒阳</w:t>
            </w:r>
          </w:p>
        </w:tc>
        <w:tc>
          <w:tcPr>
            <w:tcW w:w="7207" w:type="dxa"/>
            <w:shd w:val="clear"/>
            <w:vAlign w:val="top"/>
          </w:tcPr>
          <w:p w14:paraId="160D717B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跨学科视角下小学数学实践性作业设计的三个角度</w:t>
            </w:r>
          </w:p>
        </w:tc>
        <w:tc>
          <w:tcPr>
            <w:tcW w:w="1802" w:type="dxa"/>
            <w:shd w:val="clear"/>
            <w:vAlign w:val="top"/>
          </w:tcPr>
          <w:p w14:paraId="0E81DE87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2024.5</w:t>
            </w:r>
          </w:p>
        </w:tc>
        <w:tc>
          <w:tcPr>
            <w:tcW w:w="1956" w:type="dxa"/>
            <w:shd w:val="clear"/>
            <w:vAlign w:val="top"/>
          </w:tcPr>
          <w:p w14:paraId="28A40C41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数学大世界</w:t>
            </w:r>
          </w:p>
        </w:tc>
        <w:tc>
          <w:tcPr>
            <w:tcW w:w="1460" w:type="dxa"/>
            <w:shd w:val="clear"/>
            <w:vAlign w:val="top"/>
          </w:tcPr>
          <w:p w14:paraId="143C3587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省级</w:t>
            </w:r>
          </w:p>
        </w:tc>
      </w:tr>
      <w:tr w14:paraId="0D919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6" w:type="dxa"/>
            <w:shd w:val="clear"/>
            <w:vAlign w:val="top"/>
          </w:tcPr>
          <w:p w14:paraId="4358782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877" w:type="dxa"/>
            <w:shd w:val="clear"/>
            <w:vAlign w:val="top"/>
          </w:tcPr>
          <w:p w14:paraId="3D9C664D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倪敏</w:t>
            </w:r>
          </w:p>
        </w:tc>
        <w:tc>
          <w:tcPr>
            <w:tcW w:w="7207" w:type="dxa"/>
            <w:shd w:val="clear"/>
            <w:vAlign w:val="top"/>
          </w:tcPr>
          <w:p w14:paraId="6E1AEAF4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小学数学“综合与实践”跨学科主题学习活动的实施策略</w:t>
            </w:r>
          </w:p>
        </w:tc>
        <w:tc>
          <w:tcPr>
            <w:tcW w:w="1802" w:type="dxa"/>
            <w:shd w:val="clear"/>
            <w:vAlign w:val="top"/>
          </w:tcPr>
          <w:p w14:paraId="6B3AF7E9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2025.6</w:t>
            </w:r>
          </w:p>
        </w:tc>
        <w:tc>
          <w:tcPr>
            <w:tcW w:w="1956" w:type="dxa"/>
            <w:shd w:val="clear"/>
            <w:vAlign w:val="top"/>
          </w:tcPr>
          <w:p w14:paraId="7409917B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课程与教学</w:t>
            </w:r>
          </w:p>
        </w:tc>
        <w:tc>
          <w:tcPr>
            <w:tcW w:w="1460" w:type="dxa"/>
            <w:shd w:val="clear"/>
            <w:vAlign w:val="top"/>
          </w:tcPr>
          <w:p w14:paraId="7056CCEA"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省级</w:t>
            </w:r>
          </w:p>
        </w:tc>
      </w:tr>
    </w:tbl>
    <w:p w14:paraId="44695F6E"/>
    <w:p w14:paraId="2F4AA9DA"/>
    <w:p w14:paraId="709D597E"/>
    <w:p w14:paraId="3AC92DBA">
      <w:pPr>
        <w:jc w:val="center"/>
        <w:rPr>
          <w:b/>
          <w:sz w:val="36"/>
        </w:rPr>
      </w:pPr>
    </w:p>
    <w:p w14:paraId="024EF8B2">
      <w:pPr>
        <w:jc w:val="center"/>
        <w:rPr>
          <w:b/>
          <w:sz w:val="36"/>
        </w:rPr>
      </w:pPr>
    </w:p>
    <w:p w14:paraId="08269BB4">
      <w:pPr>
        <w:jc w:val="center"/>
        <w:rPr>
          <w:b/>
          <w:sz w:val="36"/>
        </w:rPr>
      </w:pPr>
    </w:p>
    <w:p w14:paraId="6149CF7D">
      <w:pPr>
        <w:ind w:firstLine="5783" w:firstLineChars="1600"/>
        <w:rPr>
          <w:b/>
          <w:sz w:val="36"/>
          <w:szCs w:val="22"/>
        </w:rPr>
      </w:pPr>
      <w:r>
        <w:rPr>
          <w:b/>
          <w:sz w:val="36"/>
        </w:rPr>
        <w:t xml:space="preserve">B9  </w:t>
      </w:r>
      <w:r>
        <w:rPr>
          <w:rFonts w:hint="eastAsia"/>
          <w:b/>
          <w:sz w:val="36"/>
        </w:rPr>
        <w:t>佐证材料</w:t>
      </w:r>
    </w:p>
    <w:p w14:paraId="5CEF5403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3987"/>
      </w:tblGrid>
      <w:tr w14:paraId="4EED2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E32CE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BE1D8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EE170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52310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14:paraId="5C973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EFAD6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D63D1E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A64C9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F2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 w14:paraId="19322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9C0A17">
            <w:pPr>
              <w:jc w:val="center"/>
            </w:pPr>
            <w:r>
              <w:t>1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54EC9A">
            <w:pPr>
              <w:jc w:val="center"/>
            </w:pPr>
            <w:r>
              <w:drawing>
                <wp:inline distT="0" distB="0" distL="0" distR="0">
                  <wp:extent cx="2426335" cy="3234055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23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7D9937">
            <w:pPr>
              <w:jc w:val="center"/>
            </w:pPr>
            <w:r>
              <w:drawing>
                <wp:inline distT="0" distB="0" distL="0" distR="0">
                  <wp:extent cx="2426335" cy="3234690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23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22173">
            <w:pPr>
              <w:jc w:val="center"/>
            </w:pPr>
            <w:r>
              <w:drawing>
                <wp:inline distT="0" distB="0" distL="0" distR="0">
                  <wp:extent cx="2388235" cy="318135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318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A72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0DE97C">
            <w:pPr>
              <w:jc w:val="center"/>
            </w:pPr>
            <w:r>
              <w:t>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FE06A2">
            <w:pPr>
              <w:jc w:val="center"/>
            </w:pPr>
            <w:r>
              <w:drawing>
                <wp:inline distT="0" distB="0" distL="0" distR="0">
                  <wp:extent cx="2426335" cy="345122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45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0692A">
            <w:pPr>
              <w:jc w:val="center"/>
            </w:pPr>
            <w:r>
              <w:drawing>
                <wp:inline distT="0" distB="0" distL="0" distR="0">
                  <wp:extent cx="2426335" cy="349250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49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A7623D">
            <w:pPr>
              <w:jc w:val="center"/>
            </w:pPr>
            <w:r>
              <w:drawing>
                <wp:inline distT="0" distB="0" distL="0" distR="0">
                  <wp:extent cx="2388235" cy="3357245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335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F13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4C1C9B">
            <w:pPr>
              <w:jc w:val="center"/>
            </w:pPr>
            <w:r>
              <w:t>3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291D9">
            <w:pPr>
              <w:jc w:val="center"/>
            </w:pPr>
            <w:r>
              <w:drawing>
                <wp:inline distT="0" distB="0" distL="0" distR="0">
                  <wp:extent cx="2426335" cy="3371215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37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F236AB">
            <w:pPr>
              <w:jc w:val="center"/>
            </w:pPr>
            <w:r>
              <w:drawing>
                <wp:inline distT="0" distB="0" distL="0" distR="0">
                  <wp:extent cx="2426335" cy="3688715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68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DDE9A4">
            <w:pPr>
              <w:jc w:val="center"/>
            </w:pPr>
          </w:p>
          <w:p w14:paraId="36525C7B">
            <w:pPr>
              <w:jc w:val="center"/>
            </w:pPr>
          </w:p>
          <w:p w14:paraId="0D43F874">
            <w:pPr>
              <w:jc w:val="center"/>
            </w:pPr>
            <w:r>
              <w:drawing>
                <wp:inline distT="0" distB="0" distL="0" distR="0">
                  <wp:extent cx="2388235" cy="3469640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347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5E8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5C6E5E">
            <w:pPr>
              <w:jc w:val="center"/>
            </w:pPr>
            <w:r>
              <w:t>4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C77EA">
            <w:pPr>
              <w:jc w:val="center"/>
            </w:pPr>
            <w:r>
              <w:drawing>
                <wp:inline distT="0" distB="0" distL="0" distR="0">
                  <wp:extent cx="2426335" cy="3234690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23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DE06FB">
            <w:pPr>
              <w:jc w:val="center"/>
            </w:pPr>
            <w:r>
              <w:drawing>
                <wp:inline distT="0" distB="0" distL="0" distR="0">
                  <wp:extent cx="2426335" cy="3234690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23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D1CAAD">
            <w:pPr>
              <w:jc w:val="center"/>
            </w:pPr>
          </w:p>
          <w:p w14:paraId="1BBFA287">
            <w:pPr>
              <w:jc w:val="center"/>
            </w:pPr>
            <w:r>
              <w:drawing>
                <wp:inline distT="0" distB="0" distL="0" distR="0">
                  <wp:extent cx="2388235" cy="3183890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318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DFBA8">
            <w:pPr>
              <w:jc w:val="center"/>
            </w:pPr>
          </w:p>
          <w:p w14:paraId="789081FB">
            <w:pPr>
              <w:jc w:val="center"/>
            </w:pPr>
          </w:p>
        </w:tc>
      </w:tr>
      <w:tr w14:paraId="2E639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FF474">
            <w:pPr>
              <w:jc w:val="center"/>
            </w:pPr>
            <w:r>
              <w:t>5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CFB065">
            <w:pPr>
              <w:jc w:val="center"/>
            </w:pPr>
            <w:r>
              <w:drawing>
                <wp:inline distT="0" distB="0" distL="0" distR="0">
                  <wp:extent cx="2426335" cy="3579495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58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EB321">
            <w:pPr>
              <w:jc w:val="center"/>
            </w:pPr>
            <w:r>
              <w:drawing>
                <wp:inline distT="0" distB="0" distL="0" distR="0">
                  <wp:extent cx="2426335" cy="3683000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68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7D73D">
            <w:pPr>
              <w:jc w:val="center"/>
            </w:pP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4141C">
            <w:pPr>
              <w:jc w:val="center"/>
            </w:pPr>
            <w:r>
              <w:drawing>
                <wp:inline distT="0" distB="0" distL="0" distR="0">
                  <wp:extent cx="2388235" cy="3603625"/>
                  <wp:effectExtent l="0" t="0" r="0" b="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360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D7A38">
            <w:pPr>
              <w:jc w:val="center"/>
            </w:pPr>
          </w:p>
          <w:p w14:paraId="45CACE66">
            <w:pPr>
              <w:jc w:val="center"/>
            </w:pPr>
          </w:p>
        </w:tc>
      </w:tr>
      <w:tr w14:paraId="4723D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AAC73">
            <w:pPr>
              <w:ind w:left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45784">
            <w:pPr>
              <w:jc w:val="center"/>
            </w:pPr>
            <w:r>
              <w:drawing>
                <wp:inline distT="0" distB="0" distL="0" distR="0">
                  <wp:extent cx="2426335" cy="3405505"/>
                  <wp:effectExtent l="0" t="0" r="0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40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B31399">
            <w:pPr>
              <w:jc w:val="center"/>
            </w:pPr>
            <w:r>
              <w:drawing>
                <wp:inline distT="0" distB="0" distL="0" distR="0">
                  <wp:extent cx="2426335" cy="3611245"/>
                  <wp:effectExtent l="0" t="0" r="0" b="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61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BB02B">
            <w:pPr>
              <w:jc w:val="center"/>
            </w:pPr>
            <w:r>
              <w:drawing>
                <wp:inline distT="0" distB="0" distL="0" distR="0">
                  <wp:extent cx="2388235" cy="3748405"/>
                  <wp:effectExtent l="0" t="0" r="0" b="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374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7AD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0D22C">
            <w:pPr>
              <w:ind w:left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CBEC7">
            <w:pPr>
              <w:jc w:val="center"/>
            </w:pPr>
            <w:r>
              <w:drawing>
                <wp:inline distT="0" distB="0" distL="0" distR="0">
                  <wp:extent cx="2419985" cy="3353435"/>
                  <wp:effectExtent l="0" t="0" r="0" b="0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335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3E8B8">
            <w:pPr>
              <w:jc w:val="center"/>
            </w:pPr>
            <w:r>
              <w:drawing>
                <wp:inline distT="0" distB="0" distL="0" distR="0">
                  <wp:extent cx="2419985" cy="3427095"/>
                  <wp:effectExtent l="0" t="0" r="0" b="0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342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E7F06">
            <w:pPr>
              <w:jc w:val="center"/>
            </w:pPr>
            <w:r>
              <w:drawing>
                <wp:inline distT="0" distB="0" distL="0" distR="0">
                  <wp:extent cx="2381885" cy="3325495"/>
                  <wp:effectExtent l="0" t="0" r="0" b="0"/>
                  <wp:docPr id="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332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522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BEB7A28">
            <w:pPr>
              <w:ind w:left="0" w:left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3ED37A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28875" cy="3238500"/>
                  <wp:effectExtent l="0" t="0" r="9525" b="0"/>
                  <wp:docPr id="15" name="图片 15" descr="IMG_20241230_20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230_20120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D94B3B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3260725</wp:posOffset>
                      </wp:positionV>
                      <wp:extent cx="952500" cy="8255"/>
                      <wp:effectExtent l="0" t="0" r="0" b="0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612130" y="4410075"/>
                                <a:ext cx="952500" cy="82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75.6pt;margin-top:256.75pt;height:0.65pt;width:75pt;z-index:251659264;mso-width-relative:page;mso-height-relative:page;" filled="f" stroked="t" coordsize="21600,21600" o:gfxdata="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OHQX02QAAAAsBAAAPAAAAAAAAAAEAIAAAACIAAABkcnMvZG93bnJldi54bWxQ&#10;SwECFAAUAAAACACHTuJAu6ZCkvYBAADCAwAADgAAAAAAAAABACAAAAAoAQAAZHJzL2Uyb0RvYy54&#10;bWxQSwUGAAAAAAYABgBZAQAAkAU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30145" cy="3443605"/>
                  <wp:effectExtent l="0" t="0" r="8255" b="4445"/>
                  <wp:docPr id="18" name="图片 18" descr="扫描全能王 2024-08-31 20.43 (1)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扫描全能王 2024-08-31 20.43 (1)_0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47BBF6A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2045" cy="3514725"/>
                  <wp:effectExtent l="0" t="0" r="8255" b="9525"/>
                  <wp:docPr id="19" name="图片 19" descr="扫描全能王 2024-08-31 20.43 (1)_0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扫描全能王 2024-08-31 20.43 (1)_02 (1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FE8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3D5CE3B">
            <w:pPr>
              <w:ind w:left="0" w:lef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9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4D5E24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429510" cy="3192145"/>
                  <wp:effectExtent l="0" t="0" r="8890" b="825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10" cy="319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F3BA5D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430145" cy="2822575"/>
                  <wp:effectExtent l="0" t="0" r="8255" b="15875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282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7E3FA1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393315" cy="3477895"/>
                  <wp:effectExtent l="0" t="0" r="6985" b="825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347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BA02C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4F17C2E5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2C521E20">
      <w:pPr>
        <w:jc w:val="center"/>
        <w:rPr>
          <w:rFonts w:ascii="宋体" w:hAnsi="宋体" w:eastAsia="宋体"/>
          <w:b/>
          <w:bCs/>
          <w:sz w:val="28"/>
          <w:szCs w:val="28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xMzgwNzQ2MmE1NTE4NDNlMDIzYTY5MGI4YjY0ZTAifQ=="/>
  </w:docVars>
  <w:rsids>
    <w:rsidRoot w:val="007556A2"/>
    <w:rsid w:val="00173FA8"/>
    <w:rsid w:val="0039642E"/>
    <w:rsid w:val="004F0677"/>
    <w:rsid w:val="00567B1C"/>
    <w:rsid w:val="006B301E"/>
    <w:rsid w:val="007556A2"/>
    <w:rsid w:val="0075640B"/>
    <w:rsid w:val="00767F58"/>
    <w:rsid w:val="008F7228"/>
    <w:rsid w:val="00BB4E0B"/>
    <w:rsid w:val="00C00A0B"/>
    <w:rsid w:val="00C02994"/>
    <w:rsid w:val="00C7606D"/>
    <w:rsid w:val="00ED3513"/>
    <w:rsid w:val="00ED604E"/>
    <w:rsid w:val="00F678DE"/>
    <w:rsid w:val="04664A43"/>
    <w:rsid w:val="04FD10E9"/>
    <w:rsid w:val="07460EF7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4C5129"/>
    <w:rsid w:val="23626B1C"/>
    <w:rsid w:val="250F61C2"/>
    <w:rsid w:val="25847A9B"/>
    <w:rsid w:val="267B47B0"/>
    <w:rsid w:val="26806A39"/>
    <w:rsid w:val="2A897858"/>
    <w:rsid w:val="31C936BD"/>
    <w:rsid w:val="31D80455"/>
    <w:rsid w:val="32775860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9A13E35"/>
    <w:rsid w:val="4AE23F72"/>
    <w:rsid w:val="4D570F71"/>
    <w:rsid w:val="4D946D5E"/>
    <w:rsid w:val="4DB30006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409</Words>
  <Characters>455</Characters>
  <TotalTime>0</TotalTime>
  <ScaleCrop>false</ScaleCrop>
  <LinksUpToDate>false</LinksUpToDate>
  <CharactersWithSpaces>463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2025-06-25T16:34:00Z</dcterms:created>
  <dc:creator>admin</dc:creator>
  <cp:lastModifiedBy>admin</cp:lastModifiedBy>
  <dcterms:modified xsi:type="dcterms:W3CDTF">2025-06-29T08:09:43Z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eyJoZGlkIjoiODg2MjNhY2UxYTY1YjM3ZDk4N2ExMmQzMWI1ZGRiOGEifQ==</vt:lpwstr>
  </property>
  <property fmtid="{D5CDD505-2E9C-101B-9397-08002B2CF9AE}" pid="3" name="KSOProductBuildVer">
    <vt:lpwstr>2052-12.1.0.21541</vt:lpwstr>
  </property>
  <property fmtid="{D5CDD505-2E9C-101B-9397-08002B2CF9AE}" pid="4" name="ICV">
    <vt:lpwstr>C463251828184F8581C8F132022D47C0_12</vt:lpwstr>
  </property>
</Properties>
</file>