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武进区崔桥小学教学设计</w:t>
      </w:r>
    </w:p>
    <w:p>
      <w:pPr>
        <w:spacing w:line="360" w:lineRule="auto"/>
        <w:rPr>
          <w:rFonts w:ascii="楷体_GB2312" w:eastAsia="楷体_GB2312"/>
          <w:b/>
          <w:sz w:val="24"/>
        </w:rPr>
      </w:pPr>
      <w:r>
        <w:rPr>
          <w:rFonts w:eastAsia="华文新魏"/>
          <w:b/>
          <w:sz w:val="24"/>
        </w:rPr>
        <w:t xml:space="preserve">         </w:t>
      </w:r>
      <w:r>
        <w:rPr>
          <w:rFonts w:hint="eastAsia" w:ascii="楷体_GB2312" w:eastAsia="楷体_GB2312"/>
          <w:b/>
          <w:sz w:val="24"/>
        </w:rPr>
        <w:t xml:space="preserve">                                    教学日期：</w:t>
      </w:r>
      <w:r>
        <w:rPr>
          <w:rFonts w:hint="eastAsia" w:ascii="楷体_GB2312" w:eastAsia="楷体_GB2312"/>
          <w:b/>
          <w:sz w:val="24"/>
          <w:u w:val="single"/>
        </w:rPr>
        <w:t xml:space="preserve"> </w:t>
      </w:r>
      <w:r>
        <w:rPr>
          <w:rFonts w:hint="eastAsia" w:ascii="楷体_GB2312" w:eastAsia="楷体_GB2312"/>
          <w:b/>
          <w:sz w:val="24"/>
          <w:u w:val="single"/>
          <w:lang w:val="en-US" w:eastAsia="zh-CN"/>
        </w:rPr>
        <w:t xml:space="preserve"> 3  </w:t>
      </w:r>
      <w:r>
        <w:rPr>
          <w:rFonts w:hint="eastAsia" w:ascii="楷体_GB2312" w:eastAsia="楷体_GB2312"/>
          <w:b/>
          <w:sz w:val="24"/>
        </w:rPr>
        <w:t>月</w:t>
      </w:r>
      <w:r>
        <w:rPr>
          <w:rFonts w:hint="eastAsia" w:ascii="楷体_GB2312" w:eastAsia="楷体_GB2312"/>
          <w:b/>
          <w:sz w:val="24"/>
          <w:u w:val="single"/>
        </w:rPr>
        <w:t xml:space="preserve"> </w:t>
      </w:r>
      <w:r>
        <w:rPr>
          <w:rFonts w:hint="eastAsia" w:ascii="楷体_GB2312" w:eastAsia="楷体_GB2312"/>
          <w:b/>
          <w:sz w:val="24"/>
          <w:u w:val="single"/>
          <w:lang w:val="en-US" w:eastAsia="zh-CN"/>
        </w:rPr>
        <w:t xml:space="preserve">20 </w:t>
      </w:r>
      <w:r>
        <w:rPr>
          <w:rFonts w:hint="eastAsia" w:ascii="楷体_GB2312" w:eastAsia="楷体_GB2312"/>
          <w:b/>
          <w:sz w:val="24"/>
          <w:u w:val="single"/>
        </w:rPr>
        <w:t xml:space="preserve"> </w:t>
      </w:r>
      <w:r>
        <w:rPr>
          <w:rFonts w:hint="eastAsia" w:ascii="楷体_GB2312" w:eastAsia="楷体_GB2312"/>
          <w:b/>
          <w:sz w:val="24"/>
        </w:rPr>
        <w:t>日</w:t>
      </w:r>
    </w:p>
    <w:tbl>
      <w:tblPr>
        <w:tblStyle w:val="3"/>
        <w:tblW w:w="94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5505"/>
        <w:gridCol w:w="1335"/>
        <w:gridCol w:w="9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7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10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课    题</w:t>
            </w:r>
          </w:p>
        </w:tc>
        <w:tc>
          <w:tcPr>
            <w:tcW w:w="55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华文中宋" w:eastAsia="楷体_GB2312"/>
                <w:sz w:val="24"/>
                <w:lang w:eastAsia="zh-CN"/>
              </w:rPr>
            </w:pPr>
            <w:r>
              <w:rPr>
                <w:rFonts w:hint="eastAsia" w:ascii="楷体_GB2312" w:hAnsi="华文中宋" w:eastAsia="楷体_GB2312"/>
                <w:sz w:val="24"/>
                <w:lang w:eastAsia="zh-CN"/>
              </w:rPr>
              <w:t>《</w:t>
            </w:r>
            <w:r>
              <w:rPr>
                <w:rFonts w:hint="eastAsia" w:ascii="楷体_GB2312" w:hAnsi="华文中宋" w:eastAsia="楷体_GB2312"/>
                <w:sz w:val="24"/>
                <w:lang w:val="en-US" w:eastAsia="zh-CN"/>
              </w:rPr>
              <w:t>学弈</w:t>
            </w:r>
            <w:r>
              <w:rPr>
                <w:rFonts w:hint="eastAsia" w:ascii="楷体_GB2312" w:hAnsi="华文中宋" w:eastAsia="楷体_GB2312"/>
                <w:sz w:val="24"/>
                <w:lang w:eastAsia="zh-CN"/>
              </w:rPr>
              <w:t>》</w:t>
            </w:r>
          </w:p>
        </w:tc>
        <w:tc>
          <w:tcPr>
            <w:tcW w:w="13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10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楷体_GB2312" w:hAnsi="华文中宋" w:eastAsia="楷体_GB2312"/>
                <w:sz w:val="24"/>
              </w:rPr>
            </w:pPr>
            <w:r>
              <w:rPr>
                <w:rFonts w:hint="eastAsia" w:ascii="楷体_GB2312" w:hAnsi="华文中宋" w:eastAsia="楷体_GB2312"/>
                <w:sz w:val="24"/>
              </w:rPr>
              <w:t>单元</w:t>
            </w:r>
          </w:p>
        </w:tc>
        <w:tc>
          <w:tcPr>
            <w:tcW w:w="9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五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10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教学内容</w:t>
            </w:r>
          </w:p>
        </w:tc>
        <w:tc>
          <w:tcPr>
            <w:tcW w:w="55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default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根据具体事例说明观点</w:t>
            </w:r>
          </w:p>
        </w:tc>
        <w:tc>
          <w:tcPr>
            <w:tcW w:w="13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10" w:color="auto" w:fill="auto"/>
            <w:vAlign w:val="center"/>
          </w:tcPr>
          <w:p>
            <w:pPr>
              <w:spacing w:line="0" w:lineRule="atLeast"/>
              <w:ind w:left="612" w:hanging="612" w:hangingChars="255"/>
              <w:jc w:val="center"/>
              <w:rPr>
                <w:rFonts w:ascii="楷体_GB2312" w:hAnsi="华文中宋" w:eastAsia="楷体_GB2312"/>
                <w:sz w:val="24"/>
              </w:rPr>
            </w:pPr>
            <w:r>
              <w:rPr>
                <w:rFonts w:hint="eastAsia" w:ascii="楷体_GB2312" w:hAnsi="华文中宋" w:eastAsia="楷体_GB2312"/>
                <w:sz w:val="24"/>
              </w:rPr>
              <w:t>课时</w:t>
            </w:r>
          </w:p>
        </w:tc>
        <w:tc>
          <w:tcPr>
            <w:tcW w:w="9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10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教学目标</w:t>
            </w:r>
          </w:p>
        </w:tc>
        <w:tc>
          <w:tcPr>
            <w:tcW w:w="777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1.正确、流利地朗读课文，背诵课文。</w:t>
            </w:r>
          </w:p>
          <w:p>
            <w:pPr>
              <w:numPr>
                <w:numId w:val="0"/>
              </w:numPr>
              <w:spacing w:line="360" w:lineRule="exact"/>
              <w:jc w:val="lef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2.</w:t>
            </w:r>
            <w:r>
              <w:rPr>
                <w:rFonts w:hint="eastAsia" w:ascii="楷体_GB2312" w:eastAsia="楷体_GB2312"/>
                <w:sz w:val="24"/>
              </w:rPr>
              <w:t>读懂故事内容，明白学习要专心致志的道理。</w:t>
            </w:r>
          </w:p>
          <w:p>
            <w:pPr>
              <w:numPr>
                <w:numId w:val="0"/>
              </w:numPr>
              <w:spacing w:line="360" w:lineRule="exact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3.初步了解孟子，懂得运用具体事例说明观点的方法。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17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10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教学重难点</w:t>
            </w:r>
          </w:p>
        </w:tc>
        <w:tc>
          <w:tcPr>
            <w:tcW w:w="777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读懂故事内容，明白学习要专心致志的道理。</w:t>
            </w:r>
          </w:p>
          <w:p>
            <w:pPr>
              <w:spacing w:line="400" w:lineRule="exact"/>
              <w:jc w:val="left"/>
              <w:rPr>
                <w:rFonts w:ascii="Arial" w:hAnsi="Arial" w:cs="Arial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初步了解孟子，懂得运用具体事例说明观点的方法。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10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教学具准备</w:t>
            </w:r>
          </w:p>
        </w:tc>
        <w:tc>
          <w:tcPr>
            <w:tcW w:w="7772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both"/>
              <w:rPr>
                <w:rFonts w:hint="eastAsia" w:ascii="楷体_GB2312" w:eastAsia="楷体_GB2312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>PPT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pct10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教学过程</w:t>
            </w:r>
          </w:p>
        </w:tc>
        <w:tc>
          <w:tcPr>
            <w:tcW w:w="55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二度设计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3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一．1.</w:t>
            </w:r>
            <w:r>
              <w:rPr>
                <w:sz w:val="24"/>
                <w:szCs w:val="24"/>
              </w:rPr>
              <w:t>字理识字：“弈”。</w:t>
            </w:r>
          </w:p>
          <w:p>
            <w:pPr>
              <w:spacing w:line="2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（1）“弈”是形声字，从“廾”，“亦”声。</w:t>
            </w:r>
          </w:p>
          <w:p>
            <w:pPr>
              <w:spacing w:line="260" w:lineRule="auto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（2）观察这张图_________。“弈”的形体像两只手，正在下棋。“弈”是“下围棋”的意思，可以组词“弈棋、对弈”。</w:t>
            </w:r>
            <w:r>
              <w:rPr>
                <w:rFonts w:hint="eastAsia"/>
                <w:sz w:val="24"/>
                <w:szCs w:val="24"/>
              </w:rPr>
              <w:t>串联词义说说课题的意思，带着理解一起读课题。</w:t>
            </w: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二、分层指导，读通古文</w:t>
            </w: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1.读准字音   </w:t>
            </w: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指名读文言文检查预习情况，根据朗读情况，相机指导读准字音。预设如下：</w:t>
            </w: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（1）读准多音字</w:t>
            </w: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1.理解“与”：结合现代汉语意思去推测字义，判断出第一个“与”读第三声；结合注释理解字义，判断出第二个“与”是语气词，读第二声。</w:t>
            </w: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2.用上刚才的方法说说“为”的读音及理由。</w:t>
            </w: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预设第一个“为”的意思学生可能理解不了，提醒学生放一放，等下理解句子意思时再解决这个难题。</w:t>
            </w: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（2）读准难读字  </w:t>
            </w: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指名领读本课中难读的词组：专心致志、鸿鹄、援弓缴</w:t>
            </w: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（3）指导书写   </w:t>
            </w: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点指导“援”，用微课学习“援”的演变过程，在理解意思的基础上指导写好“援”：左边一只手，上面一只手，中间一短横，下面的友也伸出一只手，众手合力，劲往一处使，注意中间的短横。请学生在写字单上认真练写一遍“援、俱、弗”，提醒学生注意写字姿势。</w:t>
            </w: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2.小结：预习时，我们要有意识地关注多音字、难读字的读音，争取把文言文读通顺，读正确。</w:t>
            </w: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3.读出节奏</w:t>
            </w: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（1）学习方法  先回顾朗读文言文时要把握好节奏和停顿，读出文言文的韵味。</w:t>
            </w:r>
          </w:p>
          <w:p>
            <w:pPr>
              <w:pStyle w:val="2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（2）练习朗读  学生自己练习朗读。</w:t>
            </w: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（3）指名朗读  学生展示朗读，相机指导读好停顿和节奏。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三、合作学习，疏通文意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1.汇报情况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（1）学生汇报课前预习时运用哪些方法理解了哪些词句的意思。（预设：结合注释，结合插图，请教别人等）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（2）学生汇报课前预习时遇到的难理解的词句。（预设：“虽与之俱学，弗若之矣”的句意；文中有好几个“之”，有些“之”的意思不能理解）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2.思考“之”意  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根据学生的汇报小结学生的理解难点，然后重点理解“之”的意思，合作思考文中“之”的意思。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3.交流“之”意  预设如下：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（1）串联词义推测“之”义：“弈秋，通国之善弈者也。”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（2）结合句意推测“之”义：“其一人专心致志，惟弈秋之为听；”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（3）联系上下文推测“之”义：“一人虽听之，一心以为有鸿鹄将至，思援弓缴而射之。” 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（4）结合注释理解“之”义：“虽与之俱学，弗若之矣。”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4.小结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</w:rPr>
              <w:t>学习文言文，我们要注意一字多义现象，还要学会运用多种方法来理解字义。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疏通文章大意，引导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交流内容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连起来完整地说说文意，再想想从简短的几句话中能读懂哪些内容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。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default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4"/>
                <w:lang w:val="en-US" w:eastAsia="zh-CN" w:bidi="ar-SA"/>
              </w:rPr>
              <w:t>思考：</w:t>
            </w:r>
            <w:r>
              <w:t>孟子给我们讲这个故事的目的是什么呢？</w:t>
            </w:r>
          </w:p>
          <w:p>
            <w:pPr>
              <w:pStyle w:val="2"/>
              <w:numPr>
                <w:numId w:val="0"/>
              </w:numPr>
              <w:ind w:firstLine="210" w:firstLineChars="1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预设：学习要专心致志。</w:t>
            </w:r>
          </w:p>
          <w:p>
            <w:pPr>
              <w:pStyle w:val="2"/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那孟子是如何说明自己的观点的呢？说一说。</w:t>
            </w:r>
          </w:p>
          <w:p>
            <w:pPr>
              <w:pStyle w:val="2"/>
              <w:numPr>
                <w:numId w:val="0"/>
              </w:numPr>
              <w:ind w:firstLine="210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预设：通过具体事例来表明自己的观点。</w:t>
            </w:r>
          </w:p>
          <w:p>
            <w:pPr>
              <w:pStyle w:val="2"/>
              <w:numPr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所以孟子就用了学艺这个浅显的故事来说明自己的观点，</w:t>
            </w:r>
            <w:r>
              <w:rPr>
                <w:rFonts w:hint="eastAsia"/>
                <w:lang w:val="en-US" w:eastAsia="zh-CN"/>
              </w:rPr>
              <w:t>这</w:t>
            </w:r>
            <w:r>
              <w:rPr>
                <w:rFonts w:hint="default"/>
                <w:lang w:val="en-US" w:eastAsia="zh-CN"/>
              </w:rPr>
              <w:t>就是用举事例的方法来说明观点。</w:t>
            </w:r>
          </w:p>
          <w:p>
            <w:pPr>
              <w:spacing w:line="2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四．</w:t>
            </w:r>
            <w:r>
              <w:rPr>
                <w:sz w:val="24"/>
                <w:szCs w:val="24"/>
              </w:rPr>
              <w:t>写法迁移，巧妙升华</w:t>
            </w:r>
          </w:p>
          <w:p>
            <w:pPr>
              <w:pStyle w:val="2"/>
              <w:rPr>
                <w:rFonts w:hint="eastAsia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1. 思辨：1.名师出高徒</w:t>
            </w:r>
          </w:p>
          <w:p>
            <w:pPr>
              <w:pStyle w:val="2"/>
              <w:rPr>
                <w:rFonts w:hint="default" w:ascii="Arial" w:hAnsi="Arial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 xml:space="preserve">         2.师傅领进门，修行在个人</w:t>
            </w:r>
          </w:p>
          <w:p>
            <w:pPr>
              <w:pStyle w:val="2"/>
              <w:rPr>
                <w:rFonts w:hint="default" w:ascii="Arial" w:hAnsi="Arial" w:eastAsia="宋体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请同学们向孟子学习，运用具体事例或讲故事的方法来表明观点。</w:t>
            </w:r>
          </w:p>
          <w:p>
            <w:pPr>
              <w:pStyle w:val="2"/>
              <w:rPr>
                <w:rFonts w:hint="default" w:ascii="Arial" w:hAnsi="Arial" w:eastAsia="宋体" w:cs="Arial"/>
                <w:sz w:val="24"/>
                <w:lang w:val="en-US" w:eastAsia="zh-CN"/>
              </w:rPr>
            </w:pPr>
            <w:r>
              <w:rPr>
                <w:rFonts w:hint="eastAsia" w:ascii="Arial" w:hAnsi="Arial" w:cs="Arial"/>
                <w:sz w:val="24"/>
                <w:lang w:val="en-US" w:eastAsia="zh-CN"/>
              </w:rPr>
              <w:t>2.生交流讨论</w:t>
            </w:r>
          </w:p>
          <w:p>
            <w:pPr>
              <w:pStyle w:val="2"/>
              <w:rPr>
                <w:rFonts w:ascii="Arial" w:hAnsi="Arial" w:cs="Arial"/>
                <w:sz w:val="24"/>
              </w:rPr>
            </w:pPr>
            <w:r>
              <w:rPr>
                <w:sz w:val="24"/>
                <w:szCs w:val="24"/>
              </w:rPr>
              <w:t>3.总结：通过这节课的学习，我们懂得了学习要专心致志的道理，并且学习了一种说明观点的方法——借助故事或事例。</w:t>
            </w:r>
          </w:p>
          <w:p>
            <w:pPr>
              <w:pStyle w:val="2"/>
              <w:rPr>
                <w:rFonts w:ascii="Arial" w:hAnsi="Arial" w:cs="Arial"/>
                <w:sz w:val="24"/>
              </w:rPr>
            </w:pPr>
          </w:p>
          <w:p>
            <w:pPr>
              <w:pStyle w:val="2"/>
              <w:rPr>
                <w:rFonts w:ascii="Arial" w:hAnsi="Arial" w:cs="Arial"/>
                <w:sz w:val="24"/>
              </w:rPr>
            </w:pPr>
          </w:p>
          <w:p>
            <w:pPr>
              <w:pStyle w:val="2"/>
              <w:rPr>
                <w:rFonts w:ascii="Arial" w:hAnsi="Arial" w:cs="Arial"/>
                <w:sz w:val="24"/>
              </w:rPr>
            </w:pPr>
          </w:p>
          <w:p>
            <w:pPr>
              <w:pStyle w:val="2"/>
              <w:rPr>
                <w:rFonts w:ascii="Arial" w:hAnsi="Arial" w:cs="Arial"/>
                <w:sz w:val="24"/>
              </w:rPr>
            </w:pPr>
          </w:p>
          <w:p>
            <w:pPr>
              <w:pStyle w:val="2"/>
              <w:rPr>
                <w:rFonts w:ascii="Arial" w:hAnsi="Arial" w:cs="Arial"/>
                <w:sz w:val="24"/>
              </w:rPr>
            </w:pPr>
          </w:p>
          <w:p>
            <w:pPr>
              <w:pStyle w:val="2"/>
              <w:rPr>
                <w:rFonts w:ascii="Arial" w:hAnsi="Arial" w:cs="Arial"/>
                <w:sz w:val="24"/>
              </w:rPr>
            </w:pPr>
          </w:p>
          <w:p>
            <w:pPr>
              <w:pStyle w:val="2"/>
              <w:rPr>
                <w:rFonts w:ascii="Arial" w:hAnsi="Arial" w:cs="Arial"/>
                <w:sz w:val="24"/>
              </w:rPr>
            </w:pPr>
          </w:p>
        </w:tc>
        <w:tc>
          <w:tcPr>
            <w:tcW w:w="226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949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lang w:eastAsia="zh-CN"/>
              </w:rPr>
              <w:t>作业设计：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课后去读读</w:t>
            </w:r>
            <w:r>
              <w:rPr>
                <w:rFonts w:hint="eastAsia" w:ascii="宋体" w:hAnsi="宋体"/>
                <w:color w:val="000000"/>
                <w:sz w:val="24"/>
              </w:rPr>
              <w:t>《孟子》里面的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寓言故事，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感受孟子的智慧和思想。</w:t>
            </w:r>
          </w:p>
          <w:p>
            <w:pPr>
              <w:widowControl/>
              <w:jc w:val="both"/>
              <w:rPr>
                <w:rFonts w:hint="eastAsia" w:ascii="楷体_GB2312" w:eastAsia="楷体_GB2312"/>
                <w:b/>
                <w:sz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949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widowControl/>
              <w:jc w:val="both"/>
              <w:rPr>
                <w:rFonts w:hint="eastAsia" w:ascii="楷体_GB2312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板书设计：</w:t>
            </w: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>14.文言文二则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 xml:space="preserve">               学弈</w:t>
            </w:r>
          </w:p>
          <w:p>
            <w:pPr>
              <w:widowControl/>
              <w:ind w:firstLine="964" w:firstLineChars="400"/>
              <w:jc w:val="both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>专心致志    三心二意</w:t>
            </w:r>
          </w:p>
          <w:p>
            <w:pPr>
              <w:widowControl/>
              <w:jc w:val="both"/>
              <w:rPr>
                <w:rFonts w:hint="default" w:ascii="楷体_GB2312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 xml:space="preserve">       </w:t>
            </w:r>
          </w:p>
          <w:p>
            <w:pPr>
              <w:widowControl/>
              <w:jc w:val="both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9498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widowControl/>
              <w:jc w:val="both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教学反思：</w:t>
            </w:r>
          </w:p>
          <w:p>
            <w:pPr>
              <w:widowControl/>
              <w:jc w:val="both"/>
              <w:rPr>
                <w:rFonts w:hint="eastAsia" w:ascii="楷体_GB2312" w:eastAsia="楷体_GB2312"/>
                <w:b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B9388"/>
    <w:multiLevelType w:val="singleLevel"/>
    <w:tmpl w:val="19EB9388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51210"/>
    <w:rsid w:val="09F96826"/>
    <w:rsid w:val="6025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/>
      <w:szCs w:val="21"/>
    </w:rPr>
  </w:style>
  <w:style w:type="character" w:styleId="5">
    <w:name w:val="Hyperlink"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2024-05-19T01:35:00Z</dcterms:created>
  <dc:creator>Administrator</dc:creator>
  <cp:lastModifiedBy>Administrator</cp:lastModifiedBy>
  <dcterms:modified xsi:type="dcterms:W3CDTF">2025-03-19T09:29:33Z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