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E56E4">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32"/>
          <w:szCs w:val="32"/>
        </w:rPr>
        <w:t>礼河实验学校教师读书笔记</w:t>
      </w:r>
    </w:p>
    <w:tbl>
      <w:tblPr>
        <w:tblStyle w:val="2"/>
        <w:tblW w:w="8502" w:type="dxa"/>
        <w:jc w:val="center"/>
        <w:tblLayout w:type="autofit"/>
        <w:tblCellMar>
          <w:top w:w="0" w:type="dxa"/>
          <w:left w:w="0" w:type="dxa"/>
          <w:bottom w:w="0" w:type="dxa"/>
          <w:right w:w="0" w:type="dxa"/>
        </w:tblCellMar>
      </w:tblPr>
      <w:tblGrid>
        <w:gridCol w:w="1896"/>
        <w:gridCol w:w="2276"/>
        <w:gridCol w:w="2280"/>
        <w:gridCol w:w="2050"/>
      </w:tblGrid>
      <w:tr w14:paraId="10808062">
        <w:tblPrEx>
          <w:tblCellMar>
            <w:top w:w="0" w:type="dxa"/>
            <w:left w:w="0" w:type="dxa"/>
            <w:bottom w:w="0" w:type="dxa"/>
            <w:right w:w="0" w:type="dxa"/>
          </w:tblCellMar>
        </w:tblPrEx>
        <w:trPr>
          <w:trHeight w:val="495" w:hRule="atLeast"/>
          <w:jc w:val="center"/>
        </w:trPr>
        <w:tc>
          <w:tcPr>
            <w:tcW w:w="18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FCA955">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书籍或文章名称</w:t>
            </w:r>
          </w:p>
        </w:tc>
        <w:tc>
          <w:tcPr>
            <w:tcW w:w="6606"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14:paraId="36BC085D">
            <w:pPr>
              <w:widowControl/>
              <w:spacing w:before="100" w:beforeAutospacing="1" w:after="100" w:afterAutospacing="1" w:line="500" w:lineRule="atLeas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24"/>
                <w:lang w:val="en-US" w:eastAsia="zh-CN"/>
              </w:rPr>
              <w:t>儿童的人格教育</w:t>
            </w:r>
          </w:p>
        </w:tc>
      </w:tr>
      <w:tr w14:paraId="34396C7C">
        <w:tblPrEx>
          <w:tblCellMar>
            <w:top w:w="0" w:type="dxa"/>
            <w:left w:w="0" w:type="dxa"/>
            <w:bottom w:w="0" w:type="dxa"/>
            <w:right w:w="0" w:type="dxa"/>
          </w:tblCellMar>
        </w:tblPrEx>
        <w:trPr>
          <w:trHeight w:val="495" w:hRule="atLeast"/>
          <w:jc w:val="center"/>
        </w:trPr>
        <w:tc>
          <w:tcPr>
            <w:tcW w:w="18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DBE526">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作      者</w:t>
            </w:r>
          </w:p>
        </w:tc>
        <w:tc>
          <w:tcPr>
            <w:tcW w:w="227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2DBEB9A">
            <w:pPr>
              <w:widowControl/>
              <w:spacing w:before="100" w:beforeAutospacing="1" w:after="100" w:afterAutospacing="1" w:line="500" w:lineRule="atLeas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阿尔弗雷德·阿德勒</w:t>
            </w:r>
          </w:p>
        </w:tc>
        <w:tc>
          <w:tcPr>
            <w:tcW w:w="228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2E67A71">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阅 读 时 间</w:t>
            </w:r>
          </w:p>
        </w:tc>
        <w:tc>
          <w:tcPr>
            <w:tcW w:w="20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B67D5CC">
            <w:pPr>
              <w:widowControl/>
              <w:spacing w:before="100" w:beforeAutospacing="1" w:after="100" w:afterAutospacing="1" w:line="500" w:lineRule="atLeast"/>
              <w:rPr>
                <w:rFonts w:hint="eastAsia" w:ascii="宋体" w:hAnsi="宋体" w:eastAsia="宋体" w:cs="宋体"/>
                <w:color w:val="000000"/>
                <w:kern w:val="0"/>
                <w:sz w:val="24"/>
                <w:lang w:val="en-US" w:eastAsia="zh-CN"/>
              </w:rPr>
            </w:pPr>
            <w:r>
              <w:rPr>
                <w:rFonts w:hint="eastAsia" w:ascii="宋体" w:hAnsi="宋体" w:cs="宋体"/>
                <w:color w:val="000000"/>
                <w:kern w:val="0"/>
                <w:sz w:val="24"/>
              </w:rPr>
              <w:t>20</w:t>
            </w:r>
            <w:r>
              <w:rPr>
                <w:rFonts w:hint="eastAsia" w:ascii="宋体" w:hAnsi="宋体" w:cs="宋体"/>
                <w:color w:val="000000"/>
                <w:kern w:val="0"/>
                <w:sz w:val="24"/>
                <w:lang w:val="en-US" w:eastAsia="zh-CN"/>
              </w:rPr>
              <w:t>25</w:t>
            </w:r>
            <w:r>
              <w:rPr>
                <w:rFonts w:hint="eastAsia" w:ascii="宋体" w:hAnsi="宋体" w:cs="宋体"/>
                <w:color w:val="000000"/>
                <w:kern w:val="0"/>
                <w:sz w:val="24"/>
              </w:rPr>
              <w:t>.</w:t>
            </w:r>
            <w:r>
              <w:rPr>
                <w:rFonts w:hint="eastAsia" w:ascii="宋体" w:hAnsi="宋体" w:cs="宋体"/>
                <w:color w:val="000000"/>
                <w:kern w:val="0"/>
                <w:sz w:val="24"/>
                <w:lang w:val="en-US" w:eastAsia="zh-CN"/>
              </w:rPr>
              <w:t>4</w:t>
            </w:r>
          </w:p>
        </w:tc>
      </w:tr>
      <w:tr w14:paraId="743915FE">
        <w:tblPrEx>
          <w:tblCellMar>
            <w:top w:w="0" w:type="dxa"/>
            <w:left w:w="0" w:type="dxa"/>
            <w:bottom w:w="0" w:type="dxa"/>
            <w:right w:w="0" w:type="dxa"/>
          </w:tblCellMar>
        </w:tblPrEx>
        <w:trPr>
          <w:trHeight w:val="495" w:hRule="atLeast"/>
          <w:jc w:val="center"/>
        </w:trPr>
        <w:tc>
          <w:tcPr>
            <w:tcW w:w="18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EF5BF2">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教 师 姓 名</w:t>
            </w:r>
          </w:p>
        </w:tc>
        <w:tc>
          <w:tcPr>
            <w:tcW w:w="227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CEA0DD9">
            <w:pPr>
              <w:widowControl/>
              <w:spacing w:before="100" w:beforeAutospacing="1" w:after="100" w:afterAutospacing="1" w:line="500" w:lineRule="atLeas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李慧东</w:t>
            </w:r>
          </w:p>
        </w:tc>
        <w:tc>
          <w:tcPr>
            <w:tcW w:w="228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7DB1D90">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年 段、学 科</w:t>
            </w:r>
          </w:p>
        </w:tc>
        <w:tc>
          <w:tcPr>
            <w:tcW w:w="20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1CB3D9E">
            <w:pPr>
              <w:widowControl/>
              <w:spacing w:before="100" w:beforeAutospacing="1" w:after="100" w:afterAutospacing="1" w:line="500" w:lineRule="atLeas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七</w:t>
            </w:r>
            <w:r>
              <w:rPr>
                <w:rFonts w:hint="eastAsia" w:ascii="宋体" w:hAnsi="宋体" w:cs="宋体"/>
                <w:color w:val="000000"/>
                <w:kern w:val="0"/>
                <w:sz w:val="24"/>
              </w:rPr>
              <w:t>年级</w:t>
            </w:r>
            <w:r>
              <w:rPr>
                <w:rFonts w:hint="eastAsia" w:ascii="宋体" w:hAnsi="宋体" w:cs="宋体"/>
                <w:color w:val="000000"/>
                <w:kern w:val="0"/>
                <w:sz w:val="24"/>
                <w:lang w:val="en-US" w:eastAsia="zh-CN"/>
              </w:rPr>
              <w:t>语文</w:t>
            </w:r>
          </w:p>
        </w:tc>
      </w:tr>
      <w:tr w14:paraId="221D943B">
        <w:tblPrEx>
          <w:tblCellMar>
            <w:top w:w="0" w:type="dxa"/>
            <w:left w:w="0" w:type="dxa"/>
            <w:bottom w:w="0" w:type="dxa"/>
            <w:right w:w="0" w:type="dxa"/>
          </w:tblCellMar>
        </w:tblPrEx>
        <w:trPr>
          <w:trHeight w:val="495" w:hRule="atLeast"/>
          <w:jc w:val="center"/>
        </w:trPr>
        <w:tc>
          <w:tcPr>
            <w:tcW w:w="8502" w:type="dxa"/>
            <w:gridSpan w:val="4"/>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BC7A50">
            <w:pPr>
              <w:rPr>
                <w:rFonts w:hint="eastAsia"/>
                <w:sz w:val="28"/>
                <w:szCs w:val="28"/>
              </w:rPr>
            </w:pPr>
            <w:r>
              <w:rPr>
                <w:rFonts w:hint="eastAsia" w:ascii="宋体" w:hAnsi="宋体" w:cs="宋体"/>
                <w:color w:val="000000"/>
                <w:kern w:val="0"/>
                <w:sz w:val="24"/>
              </w:rPr>
              <w:t>精彩摘录：</w:t>
            </w:r>
            <w:r>
              <w:rPr>
                <w:sz w:val="28"/>
                <w:szCs w:val="28"/>
              </w:rPr>
              <w:t xml:space="preserve"> </w:t>
            </w:r>
          </w:p>
          <w:p w14:paraId="25EB29F5">
            <w:pPr>
              <w:spacing w:line="360" w:lineRule="auto"/>
              <w:ind w:firstLine="480" w:firstLineChars="200"/>
              <w:rPr>
                <w:rFonts w:hint="eastAsia"/>
                <w:sz w:val="24"/>
              </w:rPr>
            </w:pPr>
            <w:r>
              <w:rPr>
                <w:rFonts w:hint="eastAsia"/>
                <w:sz w:val="24"/>
              </w:rPr>
              <w:t>决定孩子成长的因素既不是孩子内在的能力，也不是他所处的客观环境，而是这个孩子对于外在现实的看法，以及他对他和这种现实所构成的关系的理解。这个小孩与生俱来的潜在能力并不决定一切，我们成年人对于小孩的处境的判断也不重要。关键要以孩子自己的眼睛看待他的处境，以孩子错误的判断理解他的情况。我们不能期待小孩的所作所为合乎逻辑⸺ 也就是说，符合我们成年人的常识。我们应当清楚：孩子们在理解和把握他们的处境时会出现谬误。的确，我们必须记住：如果孩子不会出错，对他们的教育也就无从谈起；如果孩子的出错是天生注定的话，我们也就不可能教育或改正他。因此，相信人的性格特征是与生俱来的人，不能够也不应该做教育孩子的工作。</w:t>
            </w:r>
          </w:p>
        </w:tc>
      </w:tr>
      <w:tr w14:paraId="43399A74">
        <w:tblPrEx>
          <w:tblCellMar>
            <w:top w:w="0" w:type="dxa"/>
            <w:left w:w="0" w:type="dxa"/>
            <w:bottom w:w="0" w:type="dxa"/>
            <w:right w:w="0" w:type="dxa"/>
          </w:tblCellMar>
        </w:tblPrEx>
        <w:trPr>
          <w:trHeight w:val="495" w:hRule="atLeast"/>
          <w:jc w:val="center"/>
        </w:trPr>
        <w:tc>
          <w:tcPr>
            <w:tcW w:w="8502" w:type="dxa"/>
            <w:gridSpan w:val="4"/>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4D177D8E">
            <w:pPr>
              <w:rPr>
                <w:rFonts w:hint="eastAsia" w:ascii="宋体" w:hAnsi="宋体"/>
                <w:sz w:val="24"/>
              </w:rPr>
            </w:pPr>
            <w:r>
              <w:rPr>
                <w:rFonts w:hint="eastAsia" w:ascii="宋体" w:hAnsi="宋体" w:cs="宋体"/>
                <w:color w:val="000000"/>
                <w:kern w:val="0"/>
                <w:sz w:val="24"/>
              </w:rPr>
              <w:t>读书感悟：</w:t>
            </w:r>
            <w:r>
              <w:rPr>
                <w:rFonts w:hint="eastAsia" w:ascii="宋体" w:hAnsi="宋体"/>
                <w:sz w:val="24"/>
              </w:rPr>
              <w:t xml:space="preserve"> </w:t>
            </w:r>
          </w:p>
          <w:p w14:paraId="23AD37C1">
            <w:pPr>
              <w:spacing w:line="360" w:lineRule="auto"/>
              <w:ind w:firstLine="480" w:firstLineChars="200"/>
              <w:rPr>
                <w:rFonts w:hint="eastAsia" w:eastAsia="宋体"/>
                <w:sz w:val="24"/>
                <w:lang w:eastAsia="zh-CN"/>
              </w:rPr>
            </w:pPr>
            <w:r>
              <w:rPr>
                <w:rFonts w:hint="eastAsia" w:eastAsia="宋体"/>
                <w:sz w:val="24"/>
                <w:lang w:eastAsia="zh-CN"/>
              </w:rPr>
              <w:t>《儿童的人格教育》，虽然缺乏严密的逻辑论证，不过阿德勒的个体心理学的研究开启了一个崭新的视角来探索孩子成长过程中全景图。身心的发展的特殊性，与父母乃至于于祖父母的关系，父母的个性特点，教育方式等等都会给孩子性格发展带来特殊的影响。而教师要做的就是做孩子的朋友，发现孩子成长的特殊全景图，理</w:t>
            </w:r>
            <w:bookmarkStart w:id="0" w:name="_GoBack"/>
            <w:bookmarkEnd w:id="0"/>
            <w:r>
              <w:rPr>
                <w:rFonts w:hint="eastAsia" w:eastAsia="宋体"/>
                <w:sz w:val="24"/>
                <w:lang w:eastAsia="zh-CN"/>
              </w:rPr>
              <w:t>解孩子的特殊的六面体。（虚无目的论，追求优越感，自卑感和补偿，社会兴趣，生活风格，创造性自我：人性这个奇妙的六面体。）帮助孩子建立自信和勇气，不断发展社会兴趣，去追求与社会整体利益一致的健康有益的优越感，从而实现健全人格的不断自我完善。</w:t>
            </w:r>
          </w:p>
        </w:tc>
      </w:tr>
    </w:tbl>
    <w:p w14:paraId="7AD599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64A32"/>
    <w:rsid w:val="38D9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743</Words>
  <Characters>749</Characters>
  <Lines>0</Lines>
  <Paragraphs>0</Paragraphs>
  <TotalTime>3</TotalTime>
  <ScaleCrop>false</ScaleCrop>
  <LinksUpToDate>false</LinksUpToDate>
  <CharactersWithSpaces>767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2024-12-27T08:19:00Z</dcterms:created>
  <dc:creator>Administrator</dc:creator>
  <cp:lastModifiedBy>正则1990</cp:lastModifiedBy>
  <dcterms:modified xsi:type="dcterms:W3CDTF">2025-06-29T02:51:19Z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eyJoZGlkIjoiMGU4YmU5MjQyZWNlMGZmYTJmNTcxNWU0NmU0NDFmYTgiLCJ1c2VySWQiOiI1NjcxNTIyMzEifQ==</vt:lpwstr>
  </property>
  <property fmtid="{D5CDD505-2E9C-101B-9397-08002B2CF9AE}" pid="4" name="ICV">
    <vt:lpwstr>3B0A72B55779476CB26235E912BBF085_12</vt:lpwstr>
  </property>
</Properties>
</file>