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FD47B">
      <w:pPr>
        <w:spacing w:line="560" w:lineRule="exact"/>
        <w:jc w:val="center"/>
        <w:rPr>
          <w:rFonts w:ascii="仿宋" w:hAnsi="仿宋" w:eastAsia="仿宋"/>
          <w:b/>
          <w:bCs/>
          <w:sz w:val="44"/>
          <w:szCs w:val="44"/>
        </w:rPr>
      </w:pPr>
      <w:r>
        <w:rPr>
          <w:rFonts w:hint="eastAsia" w:ascii="仿宋" w:hAnsi="仿宋" w:eastAsia="仿宋"/>
          <w:b/>
          <w:bCs/>
          <w:sz w:val="44"/>
          <w:szCs w:val="44"/>
        </w:rPr>
        <w:t>“文化塑造未来，读书点亮人生”</w:t>
      </w:r>
    </w:p>
    <w:p w14:paraId="4379F2E0">
      <w:pPr>
        <w:spacing w:before="120" w:line="560" w:lineRule="exact"/>
        <w:jc w:val="center"/>
        <w:rPr>
          <w:rFonts w:ascii="仿宋" w:hAnsi="仿宋" w:eastAsia="仿宋"/>
          <w:b/>
          <w:bCs/>
          <w:sz w:val="44"/>
          <w:szCs w:val="44"/>
        </w:rPr>
      </w:pPr>
      <w:r>
        <w:rPr>
          <w:rFonts w:hint="eastAsia" w:ascii="仿宋" w:hAnsi="仿宋" w:eastAsia="仿宋"/>
          <w:b/>
          <w:bCs/>
          <w:sz w:val="44"/>
          <w:szCs w:val="44"/>
        </w:rPr>
        <w:t>青少年读书征文活动方案</w:t>
      </w:r>
    </w:p>
    <w:p w14:paraId="4DA398A4">
      <w:pPr>
        <w:overflowPunct w:val="0"/>
        <w:autoSpaceDE w:val="0"/>
        <w:autoSpaceDN w:val="0"/>
        <w:adjustRightInd w:val="0"/>
        <w:snapToGrid w:val="0"/>
        <w:spacing w:line="550" w:lineRule="exact"/>
        <w:ind w:firstLine="643" w:firstLineChars="200"/>
        <w:rPr>
          <w:rFonts w:ascii="仿宋" w:hAnsi="仿宋" w:eastAsia="仿宋"/>
          <w:b/>
          <w:bCs/>
          <w:color w:val="000000"/>
          <w:sz w:val="32"/>
          <w:szCs w:val="32"/>
        </w:rPr>
      </w:pPr>
    </w:p>
    <w:p w14:paraId="18ABFE77">
      <w:pPr>
        <w:overflowPunct w:val="0"/>
        <w:autoSpaceDE w:val="0"/>
        <w:autoSpaceDN w:val="0"/>
        <w:adjustRightInd w:val="0"/>
        <w:snapToGrid w:val="0"/>
        <w:spacing w:line="550" w:lineRule="exact"/>
        <w:ind w:firstLine="640" w:firstLineChars="200"/>
        <w:rPr>
          <w:rFonts w:hint="eastAsia" w:ascii="黑体" w:hAnsi="黑体" w:eastAsia="黑体"/>
          <w:bCs/>
          <w:color w:val="000000"/>
          <w:sz w:val="32"/>
          <w:szCs w:val="32"/>
        </w:rPr>
      </w:pPr>
      <w:r>
        <w:rPr>
          <w:rFonts w:ascii="黑体" w:hAnsi="黑体" w:eastAsia="黑体"/>
          <w:bCs/>
          <w:color w:val="000000"/>
          <w:sz w:val="32"/>
          <w:szCs w:val="32"/>
        </w:rPr>
        <w:t>一、活动内容</w:t>
      </w:r>
    </w:p>
    <w:p w14:paraId="709AC3AA">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组织开</w:t>
      </w:r>
      <w:r>
        <w:rPr>
          <w:rFonts w:hint="eastAsia" w:ascii="仿宋" w:hAnsi="仿宋" w:eastAsia="仿宋"/>
          <w:sz w:val="32"/>
          <w:szCs w:val="32"/>
        </w:rPr>
        <w:t>展“文化塑造未来，读书点亮人生”青少年读书征文活动，以学习中共党史、新中国史、改革开放史、社会主义发展史为重点，阅读革命红色书籍，结合常州实际，阅读由常州市关工委编写的《红色云溪》《逐梦云溪》《菁华云溪》等书，阅读由各辖市区编写的红色故事，学习革命英烈的崇高精神，讲好中</w:t>
      </w:r>
      <w:r>
        <w:rPr>
          <w:rFonts w:ascii="仿宋" w:hAnsi="仿宋" w:eastAsia="仿宋"/>
          <w:sz w:val="32"/>
          <w:szCs w:val="32"/>
        </w:rPr>
        <w:t>国故事、常州故事，并以读后感的形式撰写文章或朗读红色革命书籍并录制成朗读音频作品。</w:t>
      </w:r>
    </w:p>
    <w:p w14:paraId="53F336D7">
      <w:pPr>
        <w:overflowPunct w:val="0"/>
        <w:autoSpaceDE w:val="0"/>
        <w:autoSpaceDN w:val="0"/>
        <w:adjustRightInd w:val="0"/>
        <w:snapToGrid w:val="0"/>
        <w:spacing w:line="550" w:lineRule="exact"/>
        <w:ind w:firstLine="640" w:firstLineChars="200"/>
        <w:rPr>
          <w:rFonts w:hint="eastAsia" w:ascii="黑体" w:hAnsi="黑体" w:eastAsia="黑体"/>
          <w:bCs/>
          <w:color w:val="000000"/>
          <w:sz w:val="32"/>
          <w:szCs w:val="32"/>
        </w:rPr>
      </w:pPr>
      <w:r>
        <w:rPr>
          <w:rFonts w:ascii="黑体" w:hAnsi="黑体" w:eastAsia="黑体"/>
          <w:bCs/>
          <w:color w:val="000000"/>
          <w:sz w:val="32"/>
          <w:szCs w:val="32"/>
        </w:rPr>
        <w:t>二、活动时间</w:t>
      </w:r>
    </w:p>
    <w:p w14:paraId="30BCF0B2">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5月1日至9月15日。</w:t>
      </w:r>
    </w:p>
    <w:p w14:paraId="0EE8A3D2">
      <w:pPr>
        <w:overflowPunct w:val="0"/>
        <w:autoSpaceDE w:val="0"/>
        <w:autoSpaceDN w:val="0"/>
        <w:adjustRightInd w:val="0"/>
        <w:snapToGrid w:val="0"/>
        <w:spacing w:line="55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三、</w:t>
      </w:r>
      <w:r>
        <w:rPr>
          <w:rFonts w:ascii="黑体" w:hAnsi="黑体" w:eastAsia="黑体"/>
          <w:bCs/>
          <w:color w:val="000000"/>
          <w:sz w:val="32"/>
          <w:szCs w:val="32"/>
        </w:rPr>
        <w:t>参加对象</w:t>
      </w:r>
    </w:p>
    <w:p w14:paraId="552315FC">
      <w:pPr>
        <w:overflowPunct w:val="0"/>
        <w:autoSpaceDE w:val="0"/>
        <w:autoSpaceDN w:val="0"/>
        <w:adjustRightInd w:val="0"/>
        <w:snapToGrid w:val="0"/>
        <w:spacing w:line="550" w:lineRule="exact"/>
        <w:ind w:firstLine="643" w:firstLineChars="200"/>
        <w:rPr>
          <w:rFonts w:hint="eastAsia" w:ascii="仿宋" w:hAnsi="仿宋" w:eastAsia="仿宋"/>
          <w:b/>
          <w:sz w:val="32"/>
          <w:szCs w:val="32"/>
        </w:rPr>
      </w:pPr>
      <w:r>
        <w:rPr>
          <w:rFonts w:hint="eastAsia" w:ascii="仿宋" w:hAnsi="仿宋" w:eastAsia="仿宋"/>
          <w:b/>
          <w:sz w:val="32"/>
          <w:szCs w:val="32"/>
        </w:rPr>
        <w:t>（一）征文</w:t>
      </w:r>
    </w:p>
    <w:p w14:paraId="5C9129D2">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 xml:space="preserve"> </w:t>
      </w:r>
      <w:r>
        <w:rPr>
          <w:rFonts w:ascii="仿宋" w:hAnsi="仿宋" w:eastAsia="仿宋"/>
          <w:sz w:val="32"/>
          <w:szCs w:val="32"/>
        </w:rPr>
        <w:t>小学：五、六年级在校学生。</w:t>
      </w:r>
    </w:p>
    <w:p w14:paraId="101E5577">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xml:space="preserve"> </w:t>
      </w:r>
      <w:r>
        <w:rPr>
          <w:rFonts w:ascii="仿宋" w:hAnsi="仿宋" w:eastAsia="仿宋"/>
          <w:sz w:val="32"/>
          <w:szCs w:val="32"/>
        </w:rPr>
        <w:t>初中：在校学生。</w:t>
      </w:r>
    </w:p>
    <w:p w14:paraId="0B1C561D">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xml:space="preserve"> </w:t>
      </w:r>
      <w:r>
        <w:rPr>
          <w:rFonts w:ascii="仿宋" w:hAnsi="仿宋" w:eastAsia="仿宋"/>
          <w:sz w:val="32"/>
          <w:szCs w:val="32"/>
        </w:rPr>
        <w:t>高中：含技校、高职校在校学生</w:t>
      </w:r>
    </w:p>
    <w:p w14:paraId="33E3BC77">
      <w:pPr>
        <w:overflowPunct w:val="0"/>
        <w:autoSpaceDE w:val="0"/>
        <w:autoSpaceDN w:val="0"/>
        <w:adjustRightInd w:val="0"/>
        <w:snapToGrid w:val="0"/>
        <w:spacing w:line="550" w:lineRule="exact"/>
        <w:ind w:firstLine="643" w:firstLineChars="200"/>
        <w:rPr>
          <w:rFonts w:ascii="仿宋" w:hAnsi="仿宋" w:eastAsia="仿宋"/>
          <w:b/>
          <w:sz w:val="32"/>
          <w:szCs w:val="32"/>
        </w:rPr>
      </w:pPr>
      <w:r>
        <w:rPr>
          <w:rFonts w:ascii="仿宋" w:hAnsi="仿宋" w:eastAsia="仿宋"/>
          <w:b/>
          <w:sz w:val="32"/>
          <w:szCs w:val="32"/>
        </w:rPr>
        <w:t>（二）朗读音频</w:t>
      </w:r>
    </w:p>
    <w:p w14:paraId="4776D52B">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在校青</w:t>
      </w:r>
      <w:r>
        <w:rPr>
          <w:rFonts w:hint="eastAsia" w:ascii="仿宋" w:hAnsi="仿宋" w:eastAsia="仿宋"/>
          <w:sz w:val="32"/>
          <w:szCs w:val="32"/>
        </w:rPr>
        <w:t>少年学生、各级“五老”志愿者、各校在</w:t>
      </w:r>
      <w:r>
        <w:rPr>
          <w:rFonts w:ascii="仿宋" w:hAnsi="仿宋" w:eastAsia="仿宋"/>
          <w:sz w:val="32"/>
          <w:szCs w:val="32"/>
        </w:rPr>
        <w:t>职老师与学生家长等。</w:t>
      </w:r>
    </w:p>
    <w:p w14:paraId="0BA71EFF">
      <w:pPr>
        <w:overflowPunct w:val="0"/>
        <w:autoSpaceDE w:val="0"/>
        <w:autoSpaceDN w:val="0"/>
        <w:adjustRightInd w:val="0"/>
        <w:snapToGrid w:val="0"/>
        <w:spacing w:line="550" w:lineRule="exact"/>
        <w:ind w:firstLine="640" w:firstLineChars="200"/>
        <w:rPr>
          <w:rFonts w:ascii="黑体" w:hAnsi="黑体" w:eastAsia="黑体"/>
          <w:bCs/>
          <w:color w:val="000000"/>
          <w:sz w:val="32"/>
          <w:szCs w:val="32"/>
        </w:rPr>
      </w:pPr>
      <w:r>
        <w:rPr>
          <w:rFonts w:ascii="黑体" w:hAnsi="黑体" w:eastAsia="黑体"/>
          <w:bCs/>
          <w:color w:val="000000"/>
          <w:sz w:val="32"/>
          <w:szCs w:val="32"/>
        </w:rPr>
        <w:t>四、具体要求</w:t>
      </w:r>
    </w:p>
    <w:p w14:paraId="591CFFB8">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1. 根</w:t>
      </w:r>
      <w:r>
        <w:rPr>
          <w:rFonts w:hint="eastAsia" w:ascii="仿宋" w:hAnsi="仿宋" w:eastAsia="仿宋"/>
          <w:sz w:val="32"/>
          <w:szCs w:val="32"/>
        </w:rPr>
        <w:t>据“四史”（</w:t>
      </w:r>
      <w:r>
        <w:rPr>
          <w:rFonts w:ascii="仿宋" w:hAnsi="仿宋" w:eastAsia="仿宋"/>
          <w:sz w:val="32"/>
          <w:szCs w:val="32"/>
        </w:rPr>
        <w:t>党史、新中国史、改革开放史、社会主义发展史）、革命红色书籍、《红色云溪》《逐梦云溪》《菁华云溪》与各辖市区编写的红色故事，分别采用“读后感”或“朗读音频”两种形式参与读书征文活动。</w:t>
      </w:r>
    </w:p>
    <w:p w14:paraId="732203DD">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2. 录</w:t>
      </w:r>
      <w:r>
        <w:rPr>
          <w:rFonts w:hint="eastAsia" w:ascii="仿宋" w:hAnsi="仿宋" w:eastAsia="仿宋"/>
          <w:sz w:val="32"/>
          <w:szCs w:val="32"/>
        </w:rPr>
        <w:t>制“朗读音频”，可</w:t>
      </w:r>
      <w:r>
        <w:rPr>
          <w:rFonts w:ascii="仿宋" w:hAnsi="仿宋" w:eastAsia="仿宋"/>
          <w:sz w:val="32"/>
          <w:szCs w:val="32"/>
        </w:rPr>
        <w:t>以个人朗读，也可以老少、亲子、师生二人共同朗读。要求感情充沛、吐字清晰，时长在6~8分钟左右，可用背景音乐和图片烘托，可用手机录制。</w:t>
      </w:r>
    </w:p>
    <w:p w14:paraId="25E3C498">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3. 撰写读后感，体裁诗歌除外，文章题目自拟，抒发心声，言之有物，弘扬社会主义核心价值观，字数不少于600字。</w:t>
      </w:r>
    </w:p>
    <w:p w14:paraId="418EB4CC">
      <w:pPr>
        <w:overflowPunct w:val="0"/>
        <w:autoSpaceDE w:val="0"/>
        <w:autoSpaceDN w:val="0"/>
        <w:adjustRightInd w:val="0"/>
        <w:snapToGrid w:val="0"/>
        <w:spacing w:line="550" w:lineRule="exact"/>
        <w:ind w:firstLine="640" w:firstLineChars="200"/>
        <w:rPr>
          <w:rFonts w:ascii="黑体" w:hAnsi="黑体" w:eastAsia="黑体"/>
          <w:sz w:val="32"/>
          <w:szCs w:val="32"/>
        </w:rPr>
      </w:pPr>
      <w:r>
        <w:rPr>
          <w:rFonts w:ascii="黑体" w:hAnsi="黑体" w:eastAsia="黑体"/>
          <w:sz w:val="32"/>
          <w:szCs w:val="32"/>
        </w:rPr>
        <w:t>五、投稿方式</w:t>
      </w:r>
    </w:p>
    <w:p w14:paraId="7684B5E0">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“朗读音频”须上传</w:t>
      </w:r>
      <w:r>
        <w:rPr>
          <w:rFonts w:ascii="仿宋" w:hAnsi="仿宋" w:eastAsia="仿宋"/>
          <w:sz w:val="32"/>
          <w:szCs w:val="32"/>
        </w:rPr>
        <w:t>音频、文稿（注明朗读的书名和朗读的节选文字）并注明作者所在单位、学校和班级、姓名。</w:t>
      </w:r>
    </w:p>
    <w:p w14:paraId="5AB949C0">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“读后感文章”须上</w:t>
      </w:r>
      <w:r>
        <w:rPr>
          <w:rFonts w:ascii="仿宋" w:hAnsi="仿宋" w:eastAsia="仿宋"/>
          <w:sz w:val="32"/>
          <w:szCs w:val="32"/>
        </w:rPr>
        <w:t>传电子文稿，在征文中注明投稿人所在学校（学校名为全称，不要简称）、班级和姓名（如有指导老师，也请一并注明）。读后感文本格式：题目：四号黑体，正文：宋体小四，行距：1.5倍。</w:t>
      </w:r>
    </w:p>
    <w:p w14:paraId="749F80E2">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3. 投稿方式：学校统一收集征文电子稿或朗读音频并按学段分别汇总（汇总格式见附件，以excl文档汇总）后，发所在辖市区关工委，由各辖市区关工委办公室按学段统一汇总后（以excl文档汇总），将征文电子稿和朗读音频打包发送市关工委指定邮箱。不接收学生个人或单独的每一个学校寄送的作品（以免重复报送），请各辖市区关工委或各辖市区教育局关工委统一汇总报送。</w:t>
      </w:r>
    </w:p>
    <w:p w14:paraId="5347A5E4">
      <w:pPr>
        <w:overflowPunct w:val="0"/>
        <w:autoSpaceDE w:val="0"/>
        <w:autoSpaceDN w:val="0"/>
        <w:adjustRightInd w:val="0"/>
        <w:snapToGrid w:val="0"/>
        <w:spacing w:line="550" w:lineRule="exact"/>
        <w:ind w:firstLine="640" w:firstLineChars="200"/>
        <w:rPr>
          <w:rFonts w:ascii="黑体" w:hAnsi="黑体" w:eastAsia="黑体"/>
          <w:sz w:val="32"/>
          <w:szCs w:val="32"/>
        </w:rPr>
      </w:pPr>
      <w:r>
        <w:rPr>
          <w:rFonts w:ascii="黑体" w:hAnsi="黑体" w:eastAsia="黑体"/>
          <w:sz w:val="32"/>
          <w:szCs w:val="32"/>
        </w:rPr>
        <w:t>六、评选与奖励</w:t>
      </w:r>
    </w:p>
    <w:p w14:paraId="0E1B520D">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1. 成立“文化塑造未来，读书点亮人生”读书征文评审组，组织来稿评选；</w:t>
      </w:r>
    </w:p>
    <w:p w14:paraId="4C8A9326">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2. 对获奖作品予以奖励，获奖比例如下；各学段征文总数的10%为一等奖，15%为二等奖，20%为三等奖。音频总数的10%为一等奖，15%为二等奖，20%为三等奖。并评选优秀</w:t>
      </w:r>
      <w:bookmarkStart w:id="0" w:name="_GoBack"/>
      <w:bookmarkEnd w:id="0"/>
      <w:r>
        <w:rPr>
          <w:rFonts w:ascii="仿宋" w:hAnsi="仿宋" w:eastAsia="仿宋"/>
          <w:sz w:val="32"/>
          <w:szCs w:val="32"/>
        </w:rPr>
        <w:t>组织奖。</w:t>
      </w:r>
    </w:p>
    <w:p w14:paraId="1BD27F8A">
      <w:pPr>
        <w:overflowPunct w:val="0"/>
        <w:autoSpaceDE w:val="0"/>
        <w:autoSpaceDN w:val="0"/>
        <w:adjustRightInd w:val="0"/>
        <w:snapToGrid w:val="0"/>
        <w:spacing w:line="550" w:lineRule="exact"/>
        <w:ind w:firstLine="640" w:firstLineChars="200"/>
        <w:rPr>
          <w:rFonts w:ascii="仿宋" w:hAnsi="仿宋" w:eastAsia="仿宋"/>
          <w:sz w:val="32"/>
          <w:szCs w:val="32"/>
        </w:rPr>
      </w:pPr>
      <w:r>
        <w:rPr>
          <w:rFonts w:ascii="仿宋" w:hAnsi="仿宋" w:eastAsia="仿宋"/>
          <w:sz w:val="32"/>
          <w:szCs w:val="32"/>
        </w:rPr>
        <w:t>3.“朗读音频”与“读后感文章”将择优在市关工委网站发布，并推荐江苏少年网、江苏省关心下一代周报；“读后感文章”部分获奖作品将在《中吴》杂志刊登。</w:t>
      </w:r>
    </w:p>
    <w:p w14:paraId="27A0EC93">
      <w:pPr>
        <w:overflowPunct w:val="0"/>
        <w:autoSpaceDE w:val="0"/>
        <w:autoSpaceDN w:val="0"/>
        <w:adjustRightInd w:val="0"/>
        <w:snapToGrid w:val="0"/>
        <w:spacing w:after="120" w:line="55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xml:space="preserve"> </w:t>
      </w:r>
      <w:r>
        <w:rPr>
          <w:rFonts w:ascii="仿宋" w:hAnsi="仿宋" w:eastAsia="仿宋"/>
          <w:sz w:val="32"/>
          <w:szCs w:val="32"/>
        </w:rPr>
        <w:t>征文或朗读音频汇总格式</w:t>
      </w:r>
    </w:p>
    <w:tbl>
      <w:tblPr>
        <w:tblStyle w:val="2"/>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1905"/>
        <w:gridCol w:w="1365"/>
        <w:gridCol w:w="2608"/>
        <w:gridCol w:w="1705"/>
      </w:tblGrid>
      <w:tr w14:paraId="368F7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939" w:type="dxa"/>
            <w:noWrap w:val="0"/>
            <w:vAlign w:val="center"/>
          </w:tcPr>
          <w:p w14:paraId="7E7676E8">
            <w:pPr>
              <w:spacing w:line="440" w:lineRule="exact"/>
              <w:jc w:val="center"/>
              <w:rPr>
                <w:rFonts w:ascii="仿宋" w:hAnsi="仿宋" w:eastAsia="仿宋" w:cs="仿宋"/>
                <w:sz w:val="30"/>
                <w:szCs w:val="30"/>
              </w:rPr>
            </w:pPr>
            <w:r>
              <w:rPr>
                <w:rFonts w:hint="eastAsia" w:ascii="仿宋" w:hAnsi="仿宋" w:eastAsia="仿宋" w:cs="仿宋"/>
                <w:sz w:val="30"/>
                <w:szCs w:val="30"/>
              </w:rPr>
              <w:t>序号</w:t>
            </w:r>
          </w:p>
        </w:tc>
        <w:tc>
          <w:tcPr>
            <w:tcW w:w="1905" w:type="dxa"/>
            <w:noWrap w:val="0"/>
            <w:vAlign w:val="center"/>
          </w:tcPr>
          <w:p w14:paraId="4155DA22">
            <w:pPr>
              <w:spacing w:line="440" w:lineRule="exact"/>
              <w:jc w:val="center"/>
              <w:rPr>
                <w:rFonts w:ascii="仿宋" w:hAnsi="仿宋" w:eastAsia="仿宋" w:cs="仿宋"/>
                <w:sz w:val="30"/>
                <w:szCs w:val="30"/>
              </w:rPr>
            </w:pPr>
            <w:r>
              <w:rPr>
                <w:rFonts w:hint="eastAsia" w:ascii="仿宋" w:hAnsi="仿宋" w:eastAsia="仿宋" w:cs="仿宋"/>
                <w:sz w:val="30"/>
                <w:szCs w:val="30"/>
              </w:rPr>
              <w:t>题目</w:t>
            </w:r>
          </w:p>
        </w:tc>
        <w:tc>
          <w:tcPr>
            <w:tcW w:w="1365" w:type="dxa"/>
            <w:noWrap w:val="0"/>
            <w:vAlign w:val="center"/>
          </w:tcPr>
          <w:p w14:paraId="6785BC8A">
            <w:pPr>
              <w:spacing w:line="440" w:lineRule="exact"/>
              <w:jc w:val="center"/>
              <w:rPr>
                <w:rFonts w:ascii="仿宋" w:hAnsi="仿宋" w:eastAsia="仿宋" w:cs="仿宋"/>
                <w:sz w:val="30"/>
                <w:szCs w:val="30"/>
              </w:rPr>
            </w:pPr>
            <w:r>
              <w:rPr>
                <w:rFonts w:hint="eastAsia" w:ascii="仿宋" w:hAnsi="仿宋" w:eastAsia="仿宋" w:cs="仿宋"/>
                <w:sz w:val="30"/>
                <w:szCs w:val="30"/>
              </w:rPr>
              <w:t>作者</w:t>
            </w:r>
          </w:p>
        </w:tc>
        <w:tc>
          <w:tcPr>
            <w:tcW w:w="2608" w:type="dxa"/>
            <w:noWrap w:val="0"/>
            <w:vAlign w:val="center"/>
          </w:tcPr>
          <w:p w14:paraId="5AE6D50E">
            <w:pPr>
              <w:spacing w:line="440" w:lineRule="exact"/>
              <w:jc w:val="center"/>
              <w:rPr>
                <w:rFonts w:ascii="仿宋" w:hAnsi="仿宋" w:eastAsia="仿宋" w:cs="仿宋"/>
                <w:sz w:val="30"/>
                <w:szCs w:val="30"/>
              </w:rPr>
            </w:pPr>
            <w:r>
              <w:rPr>
                <w:rFonts w:hint="eastAsia" w:ascii="仿宋" w:hAnsi="仿宋" w:eastAsia="仿宋" w:cs="仿宋"/>
                <w:sz w:val="30"/>
                <w:szCs w:val="30"/>
              </w:rPr>
              <w:t>单位（学校、年级、班级）</w:t>
            </w:r>
          </w:p>
        </w:tc>
        <w:tc>
          <w:tcPr>
            <w:tcW w:w="1705" w:type="dxa"/>
            <w:noWrap w:val="0"/>
            <w:vAlign w:val="center"/>
          </w:tcPr>
          <w:p w14:paraId="56A8511C">
            <w:pPr>
              <w:spacing w:line="440" w:lineRule="exact"/>
              <w:jc w:val="center"/>
              <w:rPr>
                <w:rFonts w:ascii="仿宋" w:hAnsi="仿宋" w:eastAsia="仿宋" w:cs="仿宋"/>
                <w:sz w:val="30"/>
                <w:szCs w:val="30"/>
              </w:rPr>
            </w:pPr>
            <w:r>
              <w:rPr>
                <w:rFonts w:hint="eastAsia" w:ascii="仿宋" w:hAnsi="仿宋" w:eastAsia="仿宋" w:cs="仿宋"/>
                <w:sz w:val="30"/>
                <w:szCs w:val="30"/>
              </w:rPr>
              <w:t>指导老师</w:t>
            </w:r>
          </w:p>
        </w:tc>
      </w:tr>
      <w:tr w14:paraId="1462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939" w:type="dxa"/>
            <w:noWrap w:val="0"/>
            <w:vAlign w:val="top"/>
          </w:tcPr>
          <w:p w14:paraId="59D96D32">
            <w:pPr>
              <w:rPr>
                <w:rFonts w:ascii="仿宋" w:hAnsi="仿宋" w:eastAsia="仿宋" w:cs="仿宋"/>
                <w:sz w:val="32"/>
                <w:szCs w:val="32"/>
              </w:rPr>
            </w:pPr>
          </w:p>
        </w:tc>
        <w:tc>
          <w:tcPr>
            <w:tcW w:w="1905" w:type="dxa"/>
            <w:noWrap w:val="0"/>
            <w:vAlign w:val="top"/>
          </w:tcPr>
          <w:p w14:paraId="1DFD7F0E">
            <w:pPr>
              <w:rPr>
                <w:rFonts w:ascii="仿宋" w:hAnsi="仿宋" w:eastAsia="仿宋" w:cs="仿宋"/>
                <w:sz w:val="32"/>
                <w:szCs w:val="32"/>
              </w:rPr>
            </w:pPr>
          </w:p>
        </w:tc>
        <w:tc>
          <w:tcPr>
            <w:tcW w:w="1365" w:type="dxa"/>
            <w:noWrap w:val="0"/>
            <w:vAlign w:val="top"/>
          </w:tcPr>
          <w:p w14:paraId="3EACBEE7">
            <w:pPr>
              <w:rPr>
                <w:rFonts w:ascii="仿宋" w:hAnsi="仿宋" w:eastAsia="仿宋" w:cs="仿宋"/>
                <w:sz w:val="32"/>
                <w:szCs w:val="32"/>
              </w:rPr>
            </w:pPr>
          </w:p>
        </w:tc>
        <w:tc>
          <w:tcPr>
            <w:tcW w:w="2608" w:type="dxa"/>
            <w:noWrap w:val="0"/>
            <w:vAlign w:val="top"/>
          </w:tcPr>
          <w:p w14:paraId="73151003">
            <w:pPr>
              <w:rPr>
                <w:rFonts w:ascii="仿宋" w:hAnsi="仿宋" w:eastAsia="仿宋" w:cs="仿宋"/>
                <w:sz w:val="32"/>
                <w:szCs w:val="32"/>
              </w:rPr>
            </w:pPr>
          </w:p>
        </w:tc>
        <w:tc>
          <w:tcPr>
            <w:tcW w:w="1705" w:type="dxa"/>
            <w:noWrap w:val="0"/>
            <w:vAlign w:val="top"/>
          </w:tcPr>
          <w:p w14:paraId="5EB2365F">
            <w:pPr>
              <w:rPr>
                <w:rFonts w:ascii="仿宋" w:hAnsi="仿宋" w:eastAsia="仿宋" w:cs="仿宋"/>
                <w:sz w:val="32"/>
                <w:szCs w:val="32"/>
              </w:rPr>
            </w:pPr>
          </w:p>
        </w:tc>
      </w:tr>
      <w:tr w14:paraId="2E22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939" w:type="dxa"/>
            <w:noWrap w:val="0"/>
            <w:vAlign w:val="top"/>
          </w:tcPr>
          <w:p w14:paraId="3549C6F7">
            <w:pPr>
              <w:rPr>
                <w:rFonts w:ascii="仿宋" w:hAnsi="仿宋" w:eastAsia="仿宋" w:cs="仿宋"/>
                <w:sz w:val="32"/>
                <w:szCs w:val="32"/>
              </w:rPr>
            </w:pPr>
          </w:p>
        </w:tc>
        <w:tc>
          <w:tcPr>
            <w:tcW w:w="1905" w:type="dxa"/>
            <w:noWrap w:val="0"/>
            <w:vAlign w:val="top"/>
          </w:tcPr>
          <w:p w14:paraId="2D62E0CC">
            <w:pPr>
              <w:rPr>
                <w:rFonts w:ascii="仿宋" w:hAnsi="仿宋" w:eastAsia="仿宋" w:cs="仿宋"/>
                <w:sz w:val="32"/>
                <w:szCs w:val="32"/>
              </w:rPr>
            </w:pPr>
          </w:p>
        </w:tc>
        <w:tc>
          <w:tcPr>
            <w:tcW w:w="1365" w:type="dxa"/>
            <w:noWrap w:val="0"/>
            <w:vAlign w:val="top"/>
          </w:tcPr>
          <w:p w14:paraId="3A9566F1">
            <w:pPr>
              <w:rPr>
                <w:rFonts w:ascii="仿宋" w:hAnsi="仿宋" w:eastAsia="仿宋" w:cs="仿宋"/>
                <w:sz w:val="32"/>
                <w:szCs w:val="32"/>
              </w:rPr>
            </w:pPr>
          </w:p>
        </w:tc>
        <w:tc>
          <w:tcPr>
            <w:tcW w:w="2608" w:type="dxa"/>
            <w:noWrap w:val="0"/>
            <w:vAlign w:val="top"/>
          </w:tcPr>
          <w:p w14:paraId="3593FDD4">
            <w:pPr>
              <w:rPr>
                <w:rFonts w:ascii="仿宋" w:hAnsi="仿宋" w:eastAsia="仿宋" w:cs="仿宋"/>
                <w:sz w:val="32"/>
                <w:szCs w:val="32"/>
              </w:rPr>
            </w:pPr>
          </w:p>
        </w:tc>
        <w:tc>
          <w:tcPr>
            <w:tcW w:w="1705" w:type="dxa"/>
            <w:noWrap w:val="0"/>
            <w:vAlign w:val="top"/>
          </w:tcPr>
          <w:p w14:paraId="00168E5F">
            <w:pPr>
              <w:rPr>
                <w:rFonts w:ascii="仿宋" w:hAnsi="仿宋" w:eastAsia="仿宋" w:cs="仿宋"/>
                <w:sz w:val="32"/>
                <w:szCs w:val="32"/>
              </w:rPr>
            </w:pPr>
          </w:p>
        </w:tc>
      </w:tr>
      <w:tr w14:paraId="12C4F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939" w:type="dxa"/>
            <w:noWrap w:val="0"/>
            <w:vAlign w:val="top"/>
          </w:tcPr>
          <w:p w14:paraId="12CFF7F3">
            <w:pPr>
              <w:rPr>
                <w:rFonts w:ascii="仿宋" w:hAnsi="仿宋" w:eastAsia="仿宋" w:cs="仿宋"/>
                <w:sz w:val="32"/>
                <w:szCs w:val="32"/>
              </w:rPr>
            </w:pPr>
          </w:p>
        </w:tc>
        <w:tc>
          <w:tcPr>
            <w:tcW w:w="1905" w:type="dxa"/>
            <w:noWrap w:val="0"/>
            <w:vAlign w:val="top"/>
          </w:tcPr>
          <w:p w14:paraId="63A3191C">
            <w:pPr>
              <w:rPr>
                <w:rFonts w:ascii="仿宋" w:hAnsi="仿宋" w:eastAsia="仿宋" w:cs="仿宋"/>
                <w:sz w:val="32"/>
                <w:szCs w:val="32"/>
              </w:rPr>
            </w:pPr>
          </w:p>
        </w:tc>
        <w:tc>
          <w:tcPr>
            <w:tcW w:w="1365" w:type="dxa"/>
            <w:noWrap w:val="0"/>
            <w:vAlign w:val="top"/>
          </w:tcPr>
          <w:p w14:paraId="75E14425">
            <w:pPr>
              <w:rPr>
                <w:rFonts w:ascii="仿宋" w:hAnsi="仿宋" w:eastAsia="仿宋" w:cs="仿宋"/>
                <w:sz w:val="32"/>
                <w:szCs w:val="32"/>
              </w:rPr>
            </w:pPr>
          </w:p>
        </w:tc>
        <w:tc>
          <w:tcPr>
            <w:tcW w:w="2608" w:type="dxa"/>
            <w:noWrap w:val="0"/>
            <w:vAlign w:val="top"/>
          </w:tcPr>
          <w:p w14:paraId="2C1C7F90">
            <w:pPr>
              <w:rPr>
                <w:rFonts w:ascii="仿宋" w:hAnsi="仿宋" w:eastAsia="仿宋" w:cs="仿宋"/>
                <w:sz w:val="32"/>
                <w:szCs w:val="32"/>
              </w:rPr>
            </w:pPr>
          </w:p>
        </w:tc>
        <w:tc>
          <w:tcPr>
            <w:tcW w:w="1705" w:type="dxa"/>
            <w:noWrap w:val="0"/>
            <w:vAlign w:val="top"/>
          </w:tcPr>
          <w:p w14:paraId="78F26FFA">
            <w:pPr>
              <w:rPr>
                <w:rFonts w:ascii="仿宋" w:hAnsi="仿宋" w:eastAsia="仿宋" w:cs="仿宋"/>
                <w:sz w:val="32"/>
                <w:szCs w:val="32"/>
              </w:rPr>
            </w:pPr>
          </w:p>
        </w:tc>
      </w:tr>
      <w:tr w14:paraId="18CA6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939" w:type="dxa"/>
            <w:noWrap w:val="0"/>
            <w:vAlign w:val="top"/>
          </w:tcPr>
          <w:p w14:paraId="1649BCBA">
            <w:pPr>
              <w:rPr>
                <w:rFonts w:ascii="仿宋" w:hAnsi="仿宋" w:eastAsia="仿宋" w:cs="仿宋"/>
                <w:sz w:val="32"/>
                <w:szCs w:val="32"/>
              </w:rPr>
            </w:pPr>
          </w:p>
        </w:tc>
        <w:tc>
          <w:tcPr>
            <w:tcW w:w="1905" w:type="dxa"/>
            <w:noWrap w:val="0"/>
            <w:vAlign w:val="top"/>
          </w:tcPr>
          <w:p w14:paraId="05624E51">
            <w:pPr>
              <w:rPr>
                <w:rFonts w:ascii="仿宋" w:hAnsi="仿宋" w:eastAsia="仿宋" w:cs="仿宋"/>
                <w:sz w:val="32"/>
                <w:szCs w:val="32"/>
              </w:rPr>
            </w:pPr>
          </w:p>
        </w:tc>
        <w:tc>
          <w:tcPr>
            <w:tcW w:w="1365" w:type="dxa"/>
            <w:noWrap w:val="0"/>
            <w:vAlign w:val="top"/>
          </w:tcPr>
          <w:p w14:paraId="1CE442C5">
            <w:pPr>
              <w:rPr>
                <w:rFonts w:ascii="仿宋" w:hAnsi="仿宋" w:eastAsia="仿宋" w:cs="仿宋"/>
                <w:sz w:val="32"/>
                <w:szCs w:val="32"/>
              </w:rPr>
            </w:pPr>
          </w:p>
        </w:tc>
        <w:tc>
          <w:tcPr>
            <w:tcW w:w="2608" w:type="dxa"/>
            <w:noWrap w:val="0"/>
            <w:vAlign w:val="top"/>
          </w:tcPr>
          <w:p w14:paraId="481690FA">
            <w:pPr>
              <w:rPr>
                <w:rFonts w:ascii="仿宋" w:hAnsi="仿宋" w:eastAsia="仿宋" w:cs="仿宋"/>
                <w:sz w:val="32"/>
                <w:szCs w:val="32"/>
              </w:rPr>
            </w:pPr>
          </w:p>
        </w:tc>
        <w:tc>
          <w:tcPr>
            <w:tcW w:w="1705" w:type="dxa"/>
            <w:noWrap w:val="0"/>
            <w:vAlign w:val="top"/>
          </w:tcPr>
          <w:p w14:paraId="53818BC9">
            <w:pPr>
              <w:rPr>
                <w:rFonts w:ascii="仿宋" w:hAnsi="仿宋" w:eastAsia="仿宋" w:cs="仿宋"/>
                <w:sz w:val="32"/>
                <w:szCs w:val="32"/>
              </w:rPr>
            </w:pPr>
          </w:p>
        </w:tc>
      </w:tr>
    </w:tbl>
    <w:p w14:paraId="684CD8A4">
      <w:pPr>
        <w:spacing w:line="360" w:lineRule="auto"/>
      </w:pPr>
    </w:p>
    <w:p w14:paraId="4472C20E">
      <w:pPr>
        <w:adjustRightInd w:val="0"/>
        <w:snapToGrid w:val="0"/>
        <w:spacing w:before="120" w:line="570" w:lineRule="exact"/>
        <w:rPr>
          <w:rFonts w:hint="eastAsia" w:eastAsia="仿宋_GB2312"/>
          <w:color w:val="000000"/>
        </w:rPr>
      </w:pPr>
    </w:p>
    <w:p w14:paraId="294AFE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A7C14"/>
    <w:rsid w:val="5E4EF3E1"/>
    <w:rsid w:val="7FDA7C14"/>
    <w:rsid w:val="BD7FE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2025-06-24T22:28:00Z</dcterms:created>
  <dc:creator>缥缈</dc:creator>
  <cp:lastModifiedBy>缥缈</cp:lastModifiedBy>
  <dcterms:modified xsi:type="dcterms:W3CDTF">2025-06-27T09:41:41Z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28A4FC4B9B52B6C17D455A6816F94F13_41</vt:lpwstr>
  </property>
</Properties>
</file>