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tbl>
      <w:tblPr>
        <w:tblStyle w:val="5"/>
        <w:tblpPr w:leftFromText="180" w:rightFromText="180" w:vertAnchor="page" w:horzAnchor="margin" w:tblpY="390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877"/>
        <w:gridCol w:w="7345"/>
        <w:gridCol w:w="1843"/>
        <w:gridCol w:w="1984"/>
        <w:gridCol w:w="1559"/>
      </w:tblGrid>
      <w:tr w14:paraId="41569C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2A908019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877" w:type="dxa"/>
          </w:tcPr>
          <w:p w14:paraId="1BDBEE6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执教者</w:t>
            </w:r>
          </w:p>
        </w:tc>
        <w:tc>
          <w:tcPr>
            <w:tcW w:w="7345" w:type="dxa"/>
          </w:tcPr>
          <w:p w14:paraId="4A36F7A0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开课课题</w:t>
            </w:r>
          </w:p>
        </w:tc>
        <w:tc>
          <w:tcPr>
            <w:tcW w:w="1843" w:type="dxa"/>
          </w:tcPr>
          <w:p w14:paraId="2C2BC06B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开课时间</w:t>
            </w:r>
          </w:p>
        </w:tc>
        <w:tc>
          <w:tcPr>
            <w:tcW w:w="1984" w:type="dxa"/>
          </w:tcPr>
          <w:p w14:paraId="6812B76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组织单位</w:t>
            </w:r>
          </w:p>
        </w:tc>
        <w:tc>
          <w:tcPr>
            <w:tcW w:w="1559" w:type="dxa"/>
          </w:tcPr>
          <w:p w14:paraId="35AD3A25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</w:tr>
      <w:tr w14:paraId="0E00A07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4A0171B4">
            <w:r>
              <w:rPr>
                <w:rFonts w:hint="eastAsia"/>
              </w:rPr>
              <w:t>1</w:t>
            </w:r>
          </w:p>
        </w:tc>
        <w:tc>
          <w:tcPr>
            <w:tcW w:w="877" w:type="dxa"/>
            <w:vAlign w:val="center"/>
          </w:tcPr>
          <w:p w14:paraId="0D35C7C3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7345" w:type="dxa"/>
            <w:vAlign w:val="center"/>
          </w:tcPr>
          <w:p w14:paraId="1B4B1855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843" w:type="dxa"/>
          </w:tcPr>
          <w:p w14:paraId="3DDB2159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984" w:type="dxa"/>
          </w:tcPr>
          <w:p w14:paraId="7ADA3269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559" w:type="dxa"/>
          </w:tcPr>
          <w:p w14:paraId="0C23961F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</w:tr>
      <w:tr w14:paraId="220783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6D999A49">
            <w:r>
              <w:rPr>
                <w:rFonts w:hint="eastAsia"/>
              </w:rPr>
              <w:t>2</w:t>
            </w:r>
          </w:p>
        </w:tc>
        <w:tc>
          <w:tcPr>
            <w:tcW w:w="877" w:type="dxa"/>
            <w:vAlign w:val="center"/>
          </w:tcPr>
          <w:p w14:paraId="3AF85421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7345" w:type="dxa"/>
            <w:vAlign w:val="center"/>
          </w:tcPr>
          <w:p w14:paraId="73A5FF5A"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</w:p>
        </w:tc>
        <w:tc>
          <w:tcPr>
            <w:tcW w:w="1843" w:type="dxa"/>
          </w:tcPr>
          <w:p w14:paraId="790653FD"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</w:p>
        </w:tc>
        <w:tc>
          <w:tcPr>
            <w:tcW w:w="1984" w:type="dxa"/>
          </w:tcPr>
          <w:p w14:paraId="01BB73F5"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</w:p>
        </w:tc>
        <w:tc>
          <w:tcPr>
            <w:tcW w:w="1559" w:type="dxa"/>
          </w:tcPr>
          <w:p w14:paraId="2CA3BFCF">
            <w:pPr>
              <w:widowControl/>
              <w:jc w:val="left"/>
              <w:textAlignment w:val="center"/>
              <w:rPr>
                <w:rFonts w:ascii="宋体" w:hAnsi="宋体" w:eastAsia="宋体" w:cs="宋体"/>
                <w:kern w:val="0"/>
                <w:szCs w:val="21"/>
                <w:lang w:bidi="ar"/>
              </w:rPr>
            </w:pPr>
          </w:p>
        </w:tc>
      </w:tr>
      <w:tr w14:paraId="3CF7A8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 w14:paraId="2A7E62CB">
            <w:r>
              <w:rPr>
                <w:rFonts w:hint="eastAsia"/>
              </w:rPr>
              <w:t>3</w:t>
            </w:r>
          </w:p>
        </w:tc>
        <w:tc>
          <w:tcPr>
            <w:tcW w:w="877" w:type="dxa"/>
            <w:vAlign w:val="center"/>
          </w:tcPr>
          <w:p w14:paraId="701B7144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7345" w:type="dxa"/>
            <w:vAlign w:val="center"/>
          </w:tcPr>
          <w:p w14:paraId="4DE8663B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843" w:type="dxa"/>
          </w:tcPr>
          <w:p w14:paraId="68427FE7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984" w:type="dxa"/>
          </w:tcPr>
          <w:p w14:paraId="72D9E736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  <w:tc>
          <w:tcPr>
            <w:tcW w:w="1559" w:type="dxa"/>
          </w:tcPr>
          <w:p w14:paraId="49018C7B">
            <w:pPr>
              <w:widowControl/>
              <w:jc w:val="left"/>
              <w:textAlignment w:val="center"/>
              <w:rPr>
                <w:rFonts w:ascii="宋体" w:hAnsi="宋体" w:eastAsia="宋体" w:cs="宋体"/>
                <w:szCs w:val="21"/>
              </w:rPr>
            </w:pPr>
          </w:p>
        </w:tc>
      </w:tr>
    </w:tbl>
    <w:p w14:paraId="24D304D0">
      <w:pPr>
        <w:jc w:val="center"/>
        <w:rPr>
          <w:rFonts w:ascii="宋体" w:hAnsi="宋体" w:eastAsia="宋体"/>
          <w:b/>
          <w:bCs/>
          <w:sz w:val="32"/>
          <w:szCs w:val="28"/>
        </w:rPr>
      </w:pPr>
      <w:r>
        <w:rPr>
          <w:rFonts w:hint="eastAsia" w:ascii="宋体" w:hAnsi="宋体" w:eastAsia="宋体"/>
          <w:b/>
          <w:bCs/>
          <w:sz w:val="32"/>
          <w:szCs w:val="28"/>
        </w:rPr>
        <w:t>B</w:t>
      </w:r>
      <w:r>
        <w:rPr>
          <w:rFonts w:ascii="宋体" w:hAnsi="宋体" w:eastAsia="宋体"/>
          <w:b/>
          <w:bCs/>
          <w:sz w:val="32"/>
          <w:szCs w:val="28"/>
        </w:rPr>
        <w:t xml:space="preserve">13 </w:t>
      </w:r>
      <w:r>
        <w:rPr>
          <w:rFonts w:hint="eastAsia" w:ascii="宋体" w:hAnsi="宋体" w:eastAsia="宋体"/>
          <w:b/>
          <w:bCs/>
          <w:sz w:val="32"/>
          <w:szCs w:val="28"/>
          <w:u w:val="single"/>
          <w:lang w:eastAsia="zh-CN"/>
        </w:rPr>
        <w:t>倪敏优秀教师培育室</w:t>
      </w:r>
      <w:r>
        <w:rPr>
          <w:rFonts w:hint="eastAsia" w:ascii="宋体" w:hAnsi="宋体" w:eastAsia="宋体"/>
          <w:b/>
          <w:bCs/>
          <w:sz w:val="32"/>
          <w:szCs w:val="28"/>
        </w:rPr>
        <w:t>讲座</w:t>
      </w:r>
      <w:bookmarkStart w:id="0" w:name="_Hlk93389186"/>
      <w:r>
        <w:rPr>
          <w:rFonts w:hint="eastAsia" w:ascii="宋体" w:hAnsi="宋体" w:eastAsia="宋体"/>
          <w:b/>
          <w:bCs/>
          <w:sz w:val="32"/>
          <w:szCs w:val="28"/>
        </w:rPr>
        <w:t>开设情况</w:t>
      </w:r>
      <w:bookmarkEnd w:id="0"/>
      <w:r>
        <w:rPr>
          <w:rFonts w:hint="eastAsia" w:ascii="宋体" w:hAnsi="宋体" w:eastAsia="宋体"/>
          <w:b/>
          <w:bCs/>
          <w:sz w:val="32"/>
          <w:szCs w:val="28"/>
        </w:rPr>
        <w:t>一览表</w:t>
      </w:r>
    </w:p>
    <w:p w14:paraId="5A64660C">
      <w:pPr>
        <w:jc w:val="center"/>
        <w:rPr>
          <w:rFonts w:ascii="宋体" w:hAnsi="宋体" w:eastAsia="宋体"/>
          <w:b/>
          <w:bCs/>
          <w:sz w:val="32"/>
          <w:szCs w:val="28"/>
        </w:rPr>
      </w:pPr>
    </w:p>
    <w:p w14:paraId="45264671">
      <w:pPr>
        <w:jc w:val="center"/>
        <w:rPr>
          <w:rFonts w:ascii="宋体" w:hAnsi="宋体" w:eastAsia="宋体"/>
          <w:b/>
          <w:bCs/>
          <w:kern w:val="0"/>
          <w:sz w:val="28"/>
          <w:szCs w:val="28"/>
        </w:rPr>
      </w:pP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 xml:space="preserve">表1 省级以上（含）讲座开设汇总表 </w:t>
      </w:r>
      <w:r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  <w:t>（注意：一篇一行）</w:t>
      </w:r>
    </w:p>
    <w:p w14:paraId="505D215E"/>
    <w:p w14:paraId="3706650E">
      <w:pPr>
        <w:jc w:val="center"/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</w:pP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表</w:t>
      </w:r>
      <w:r>
        <w:rPr>
          <w:rFonts w:ascii="宋体" w:hAnsi="宋体" w:eastAsia="宋体"/>
          <w:b/>
          <w:bCs/>
          <w:kern w:val="0"/>
          <w:sz w:val="28"/>
          <w:szCs w:val="28"/>
        </w:rPr>
        <w:t>2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 xml:space="preserve"> 市级讲座开设汇总表 </w:t>
      </w:r>
      <w:r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  <w:t>（注意：一篇一行）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1035"/>
        <w:gridCol w:w="7192"/>
        <w:gridCol w:w="1846"/>
        <w:gridCol w:w="1931"/>
        <w:gridCol w:w="1461"/>
      </w:tblGrid>
      <w:tr w14:paraId="7216C4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09" w:type="dxa"/>
            <w:vAlign w:val="top"/>
          </w:tcPr>
          <w:p w14:paraId="5A302185">
            <w:pPr>
              <w:jc w:val="center"/>
              <w:rPr>
                <w:rFonts w:hint="eastAsia" w:asciiTheme="minorHAnsi" w:hAnsiTheme="minorHAnsi" w:eastAsiaTheme="minorEastAsia" w:cstheme="minorBidi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1035" w:type="dxa"/>
            <w:vAlign w:val="top"/>
          </w:tcPr>
          <w:p w14:paraId="19D7B3C8">
            <w:pPr>
              <w:jc w:val="center"/>
              <w:rPr>
                <w:rFonts w:hint="eastAsia" w:asciiTheme="minorHAnsi" w:hAnsiTheme="minorHAnsi" w:eastAsiaTheme="minorEastAsia" w:cstheme="minorBidi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b/>
                <w:bCs/>
              </w:rPr>
              <w:t>执教者</w:t>
            </w:r>
          </w:p>
        </w:tc>
        <w:tc>
          <w:tcPr>
            <w:tcW w:w="7192" w:type="dxa"/>
            <w:vAlign w:val="top"/>
          </w:tcPr>
          <w:p w14:paraId="301E898E">
            <w:pPr>
              <w:jc w:val="center"/>
              <w:rPr>
                <w:rFonts w:hint="eastAsia" w:asciiTheme="minorHAnsi" w:hAnsiTheme="minorHAnsi" w:eastAsiaTheme="minorEastAsia" w:cstheme="minorBidi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b/>
                <w:bCs/>
              </w:rPr>
              <w:t>开课课题</w:t>
            </w:r>
          </w:p>
        </w:tc>
        <w:tc>
          <w:tcPr>
            <w:tcW w:w="1846" w:type="dxa"/>
            <w:vAlign w:val="top"/>
          </w:tcPr>
          <w:p w14:paraId="083BDB09">
            <w:pPr>
              <w:jc w:val="center"/>
              <w:rPr>
                <w:rFonts w:hint="eastAsia" w:asciiTheme="minorHAnsi" w:hAnsiTheme="minorHAnsi" w:eastAsiaTheme="minorEastAsia" w:cstheme="minorBidi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b/>
                <w:bCs/>
              </w:rPr>
              <w:t>开课时间</w:t>
            </w:r>
          </w:p>
        </w:tc>
        <w:tc>
          <w:tcPr>
            <w:tcW w:w="1931" w:type="dxa"/>
            <w:vAlign w:val="top"/>
          </w:tcPr>
          <w:p w14:paraId="1571422A">
            <w:pPr>
              <w:jc w:val="center"/>
              <w:rPr>
                <w:rFonts w:hint="eastAsia" w:asciiTheme="minorHAnsi" w:hAnsiTheme="minorHAnsi" w:eastAsiaTheme="minorEastAsia" w:cstheme="minorBidi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b/>
                <w:bCs/>
              </w:rPr>
              <w:t>组织单位</w:t>
            </w:r>
          </w:p>
        </w:tc>
        <w:tc>
          <w:tcPr>
            <w:tcW w:w="1461" w:type="dxa"/>
            <w:vAlign w:val="top"/>
          </w:tcPr>
          <w:p w14:paraId="406C8ED6">
            <w:pPr>
              <w:jc w:val="center"/>
              <w:rPr>
                <w:rFonts w:hint="eastAsia" w:asciiTheme="minorHAnsi" w:hAnsiTheme="minorHAnsi" w:eastAsiaTheme="minorEastAsia" w:cstheme="minorBidi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</w:tr>
      <w:tr w14:paraId="618FEF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09" w:type="dxa"/>
          </w:tcPr>
          <w:p w14:paraId="5FEFF403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  <w:t>1</w:t>
            </w:r>
          </w:p>
        </w:tc>
        <w:tc>
          <w:tcPr>
            <w:tcW w:w="1035" w:type="dxa"/>
          </w:tcPr>
          <w:p w14:paraId="6760C350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  <w:t>巢一开</w:t>
            </w:r>
          </w:p>
        </w:tc>
        <w:tc>
          <w:tcPr>
            <w:tcW w:w="7192" w:type="dxa"/>
          </w:tcPr>
          <w:p w14:paraId="5BFB19B2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  <w:t>乘法珠算技能培训及指导</w:t>
            </w:r>
          </w:p>
        </w:tc>
        <w:tc>
          <w:tcPr>
            <w:tcW w:w="1846" w:type="dxa"/>
          </w:tcPr>
          <w:p w14:paraId="359730EB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  <w:t>202408</w:t>
            </w:r>
          </w:p>
        </w:tc>
        <w:tc>
          <w:tcPr>
            <w:tcW w:w="1931" w:type="dxa"/>
          </w:tcPr>
          <w:p w14:paraId="09DD8B48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  <w:t>常州市教育科学研究院</w:t>
            </w:r>
          </w:p>
        </w:tc>
        <w:tc>
          <w:tcPr>
            <w:tcW w:w="1461" w:type="dxa"/>
          </w:tcPr>
          <w:p w14:paraId="1A0E7B76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  <w:t>市级</w:t>
            </w:r>
          </w:p>
        </w:tc>
      </w:tr>
      <w:tr w14:paraId="7E04E0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09" w:type="dxa"/>
          </w:tcPr>
          <w:p w14:paraId="5B6CD8FB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  <w:t>2</w:t>
            </w:r>
          </w:p>
        </w:tc>
        <w:tc>
          <w:tcPr>
            <w:tcW w:w="1035" w:type="dxa"/>
          </w:tcPr>
          <w:p w14:paraId="1FB9DC31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  <w:t>刘孝玲</w:t>
            </w:r>
          </w:p>
        </w:tc>
        <w:tc>
          <w:tcPr>
            <w:tcW w:w="7192" w:type="dxa"/>
          </w:tcPr>
          <w:p w14:paraId="2ECD0E90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  <w:t>《从知识解读到素养立意》</w:t>
            </w:r>
          </w:p>
        </w:tc>
        <w:tc>
          <w:tcPr>
            <w:tcW w:w="1846" w:type="dxa"/>
          </w:tcPr>
          <w:p w14:paraId="782FAF5D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  <w:t>202502</w:t>
            </w:r>
          </w:p>
        </w:tc>
        <w:tc>
          <w:tcPr>
            <w:tcW w:w="1931" w:type="dxa"/>
          </w:tcPr>
          <w:p w14:paraId="7FA9F40E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  <w:t>常州市教育科学研究院</w:t>
            </w:r>
          </w:p>
        </w:tc>
        <w:tc>
          <w:tcPr>
            <w:tcW w:w="1461" w:type="dxa"/>
          </w:tcPr>
          <w:p w14:paraId="2E7CF8E2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  <w:t>市级</w:t>
            </w:r>
          </w:p>
        </w:tc>
      </w:tr>
      <w:tr w14:paraId="2296771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09" w:type="dxa"/>
          </w:tcPr>
          <w:p w14:paraId="4519A707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3</w:t>
            </w:r>
          </w:p>
        </w:tc>
        <w:tc>
          <w:tcPr>
            <w:tcW w:w="1035" w:type="dxa"/>
          </w:tcPr>
          <w:p w14:paraId="7722ED2D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倪敏</w:t>
            </w:r>
          </w:p>
        </w:tc>
        <w:tc>
          <w:tcPr>
            <w:tcW w:w="7192" w:type="dxa"/>
          </w:tcPr>
          <w:p w14:paraId="6B916F39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lang w:val="en-US" w:eastAsia="zh-CN" w:bidi="ar"/>
              </w:rPr>
              <w:t>《立足数学实践，构建实践型育人方式》</w:t>
            </w:r>
          </w:p>
        </w:tc>
        <w:tc>
          <w:tcPr>
            <w:tcW w:w="1846" w:type="dxa"/>
          </w:tcPr>
          <w:p w14:paraId="7D4E6700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202411</w:t>
            </w:r>
          </w:p>
        </w:tc>
        <w:tc>
          <w:tcPr>
            <w:tcW w:w="1931" w:type="dxa"/>
          </w:tcPr>
          <w:p w14:paraId="2D465F9F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常州市教师发展学院</w:t>
            </w:r>
          </w:p>
        </w:tc>
        <w:tc>
          <w:tcPr>
            <w:tcW w:w="1461" w:type="dxa"/>
          </w:tcPr>
          <w:p w14:paraId="2D9D339A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市级</w:t>
            </w:r>
          </w:p>
        </w:tc>
      </w:tr>
    </w:tbl>
    <w:p w14:paraId="38DD8151">
      <w:pPr>
        <w:jc w:val="center"/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</w:pPr>
    </w:p>
    <w:p w14:paraId="6DE498D4">
      <w:pPr>
        <w:jc w:val="center"/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</w:pPr>
    </w:p>
    <w:p w14:paraId="00EEA865">
      <w:pPr>
        <w:jc w:val="center"/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</w:pP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>表</w:t>
      </w:r>
      <w:r>
        <w:rPr>
          <w:rFonts w:ascii="宋体" w:hAnsi="宋体" w:eastAsia="宋体"/>
          <w:b/>
          <w:bCs/>
          <w:kern w:val="0"/>
          <w:sz w:val="28"/>
          <w:szCs w:val="28"/>
        </w:rPr>
        <w:t>3</w:t>
      </w:r>
      <w:r>
        <w:rPr>
          <w:rFonts w:hint="eastAsia" w:ascii="宋体" w:hAnsi="宋体" w:eastAsia="宋体"/>
          <w:b/>
          <w:bCs/>
          <w:kern w:val="0"/>
          <w:sz w:val="28"/>
          <w:szCs w:val="28"/>
        </w:rPr>
        <w:t xml:space="preserve"> 区级讲座开设汇总表 </w:t>
      </w:r>
      <w:r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  <w:t>（注意：一篇一行）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1035"/>
        <w:gridCol w:w="7192"/>
        <w:gridCol w:w="1846"/>
        <w:gridCol w:w="1931"/>
        <w:gridCol w:w="1461"/>
      </w:tblGrid>
      <w:tr w14:paraId="6716DE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09" w:type="dxa"/>
            <w:vAlign w:val="top"/>
          </w:tcPr>
          <w:p w14:paraId="41BED6CF">
            <w:pPr>
              <w:jc w:val="center"/>
              <w:rPr>
                <w:rFonts w:hint="eastAsia" w:asciiTheme="minorHAnsi" w:hAnsiTheme="minorHAnsi" w:eastAsiaTheme="minorEastAsia" w:cstheme="minorBidi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b/>
                <w:bCs/>
              </w:rPr>
              <w:t>序号</w:t>
            </w:r>
          </w:p>
        </w:tc>
        <w:tc>
          <w:tcPr>
            <w:tcW w:w="1035" w:type="dxa"/>
            <w:vAlign w:val="top"/>
          </w:tcPr>
          <w:p w14:paraId="26B64D29">
            <w:pPr>
              <w:jc w:val="center"/>
              <w:rPr>
                <w:rFonts w:hint="eastAsia" w:asciiTheme="minorHAnsi" w:hAnsiTheme="minorHAnsi" w:eastAsiaTheme="minorEastAsia" w:cstheme="minorBidi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b/>
                <w:bCs/>
              </w:rPr>
              <w:t>执教者</w:t>
            </w:r>
          </w:p>
        </w:tc>
        <w:tc>
          <w:tcPr>
            <w:tcW w:w="7192" w:type="dxa"/>
            <w:vAlign w:val="top"/>
          </w:tcPr>
          <w:p w14:paraId="3827C4C7">
            <w:pPr>
              <w:jc w:val="center"/>
              <w:rPr>
                <w:rFonts w:hint="eastAsia" w:asciiTheme="minorHAnsi" w:hAnsiTheme="minorHAnsi" w:eastAsiaTheme="minorEastAsia" w:cstheme="minorBidi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b/>
                <w:bCs/>
              </w:rPr>
              <w:t>开课课题</w:t>
            </w:r>
          </w:p>
        </w:tc>
        <w:tc>
          <w:tcPr>
            <w:tcW w:w="1846" w:type="dxa"/>
            <w:vAlign w:val="top"/>
          </w:tcPr>
          <w:p w14:paraId="4D8CA451">
            <w:pPr>
              <w:jc w:val="center"/>
              <w:rPr>
                <w:rFonts w:hint="eastAsia" w:asciiTheme="minorHAnsi" w:hAnsiTheme="minorHAnsi" w:eastAsiaTheme="minorEastAsia" w:cstheme="minorBidi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b/>
                <w:bCs/>
              </w:rPr>
              <w:t>开课时间</w:t>
            </w:r>
          </w:p>
        </w:tc>
        <w:tc>
          <w:tcPr>
            <w:tcW w:w="1931" w:type="dxa"/>
            <w:vAlign w:val="top"/>
          </w:tcPr>
          <w:p w14:paraId="277D08A9">
            <w:pPr>
              <w:jc w:val="center"/>
              <w:rPr>
                <w:rFonts w:hint="eastAsia" w:asciiTheme="minorHAnsi" w:hAnsiTheme="minorHAnsi" w:eastAsiaTheme="minorEastAsia" w:cstheme="minorBidi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b/>
                <w:bCs/>
              </w:rPr>
              <w:t>组织单位</w:t>
            </w:r>
          </w:p>
        </w:tc>
        <w:tc>
          <w:tcPr>
            <w:tcW w:w="1461" w:type="dxa"/>
            <w:vAlign w:val="top"/>
          </w:tcPr>
          <w:p w14:paraId="4DCF7908">
            <w:pPr>
              <w:jc w:val="center"/>
              <w:rPr>
                <w:rFonts w:hint="eastAsia" w:asciiTheme="minorHAnsi" w:hAnsiTheme="minorHAnsi" w:eastAsiaTheme="minorEastAsia" w:cstheme="minorBidi"/>
                <w:b/>
                <w:bCs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  <w:b/>
                <w:bCs/>
              </w:rPr>
              <w:t>级别</w:t>
            </w:r>
          </w:p>
        </w:tc>
      </w:tr>
      <w:tr w14:paraId="558F21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09" w:type="dxa"/>
          </w:tcPr>
          <w:p w14:paraId="690C90C4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  <w:t>1</w:t>
            </w:r>
          </w:p>
        </w:tc>
        <w:tc>
          <w:tcPr>
            <w:tcW w:w="1035" w:type="dxa"/>
          </w:tcPr>
          <w:p w14:paraId="283C0300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  <w:t>李羚</w:t>
            </w:r>
          </w:p>
        </w:tc>
        <w:tc>
          <w:tcPr>
            <w:tcW w:w="7192" w:type="dxa"/>
          </w:tcPr>
          <w:p w14:paraId="42D1766D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  <w:t>《学·研·创：打造小学数学教研新样态》</w:t>
            </w:r>
          </w:p>
        </w:tc>
        <w:tc>
          <w:tcPr>
            <w:tcW w:w="1846" w:type="dxa"/>
          </w:tcPr>
          <w:p w14:paraId="5D4A47BD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  <w:t>2024.10.25</w:t>
            </w:r>
          </w:p>
        </w:tc>
        <w:tc>
          <w:tcPr>
            <w:tcW w:w="1931" w:type="dxa"/>
          </w:tcPr>
          <w:p w14:paraId="49D9450F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  <w:t>常州市新北区教师发展中心</w:t>
            </w:r>
          </w:p>
        </w:tc>
        <w:tc>
          <w:tcPr>
            <w:tcW w:w="1461" w:type="dxa"/>
          </w:tcPr>
          <w:p w14:paraId="2BC96A07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  <w:t>区级</w:t>
            </w:r>
          </w:p>
        </w:tc>
      </w:tr>
      <w:tr w14:paraId="05322B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09" w:type="dxa"/>
          </w:tcPr>
          <w:p w14:paraId="296A00B4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  <w:t>2</w:t>
            </w:r>
          </w:p>
        </w:tc>
        <w:tc>
          <w:tcPr>
            <w:tcW w:w="1035" w:type="dxa"/>
          </w:tcPr>
          <w:p w14:paraId="2872AE33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  <w:t>施佳丽</w:t>
            </w:r>
          </w:p>
        </w:tc>
        <w:tc>
          <w:tcPr>
            <w:tcW w:w="7192" w:type="dxa"/>
          </w:tcPr>
          <w:p w14:paraId="5CD37147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  <w:t>聚焦课标提升核心素养 落实实践推动学科育人</w:t>
            </w:r>
          </w:p>
        </w:tc>
        <w:tc>
          <w:tcPr>
            <w:tcW w:w="1846" w:type="dxa"/>
          </w:tcPr>
          <w:p w14:paraId="05979FE7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  <w:t>2024.09.13</w:t>
            </w:r>
          </w:p>
        </w:tc>
        <w:tc>
          <w:tcPr>
            <w:tcW w:w="1931" w:type="dxa"/>
          </w:tcPr>
          <w:p w14:paraId="76CC1751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  <w:t>常州市新北区教师发展中心</w:t>
            </w:r>
          </w:p>
        </w:tc>
        <w:tc>
          <w:tcPr>
            <w:tcW w:w="1461" w:type="dxa"/>
          </w:tcPr>
          <w:p w14:paraId="5CC65B56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  <w:t>区级</w:t>
            </w:r>
          </w:p>
        </w:tc>
      </w:tr>
      <w:tr w14:paraId="50A0FC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09" w:type="dxa"/>
          </w:tcPr>
          <w:p w14:paraId="1B7F0F0F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  <w:t>3</w:t>
            </w:r>
          </w:p>
        </w:tc>
        <w:tc>
          <w:tcPr>
            <w:tcW w:w="1035" w:type="dxa"/>
          </w:tcPr>
          <w:p w14:paraId="25039BB3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  <w:t>施佳丽</w:t>
            </w:r>
          </w:p>
        </w:tc>
        <w:tc>
          <w:tcPr>
            <w:tcW w:w="7192" w:type="dxa"/>
          </w:tcPr>
          <w:p w14:paraId="2BAD2CDF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  <w:t>“珠”光启智 “数”育未来</w:t>
            </w:r>
          </w:p>
        </w:tc>
        <w:tc>
          <w:tcPr>
            <w:tcW w:w="1846" w:type="dxa"/>
          </w:tcPr>
          <w:p w14:paraId="3D726975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  <w:t>2024.11.1</w:t>
            </w:r>
          </w:p>
        </w:tc>
        <w:tc>
          <w:tcPr>
            <w:tcW w:w="1931" w:type="dxa"/>
          </w:tcPr>
          <w:p w14:paraId="2AC384DF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  <w:t>常州市新北区教师发展中心</w:t>
            </w:r>
          </w:p>
        </w:tc>
        <w:tc>
          <w:tcPr>
            <w:tcW w:w="1461" w:type="dxa"/>
          </w:tcPr>
          <w:p w14:paraId="76307972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  <w:t>区级</w:t>
            </w:r>
          </w:p>
        </w:tc>
      </w:tr>
      <w:tr w14:paraId="2D0131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09" w:type="dxa"/>
          </w:tcPr>
          <w:p w14:paraId="0E7123C6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  <w:t>4</w:t>
            </w:r>
          </w:p>
        </w:tc>
        <w:tc>
          <w:tcPr>
            <w:tcW w:w="1035" w:type="dxa"/>
          </w:tcPr>
          <w:p w14:paraId="09EF99CD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  <w:t>巢一开</w:t>
            </w:r>
          </w:p>
        </w:tc>
        <w:tc>
          <w:tcPr>
            <w:tcW w:w="7192" w:type="dxa"/>
          </w:tcPr>
          <w:p w14:paraId="148D79C4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  <w:t>“双新”背景下小学数学游戏化课堂实践研究</w:t>
            </w:r>
          </w:p>
        </w:tc>
        <w:tc>
          <w:tcPr>
            <w:tcW w:w="1846" w:type="dxa"/>
          </w:tcPr>
          <w:p w14:paraId="1C9CA68B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  <w:t>202408</w:t>
            </w:r>
          </w:p>
        </w:tc>
        <w:tc>
          <w:tcPr>
            <w:tcW w:w="1931" w:type="dxa"/>
          </w:tcPr>
          <w:p w14:paraId="7170FA43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  <w:t>常州市新北区教师发展中心</w:t>
            </w:r>
          </w:p>
        </w:tc>
        <w:tc>
          <w:tcPr>
            <w:tcW w:w="1461" w:type="dxa"/>
          </w:tcPr>
          <w:p w14:paraId="10CCDF37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  <w:t>区级</w:t>
            </w:r>
          </w:p>
        </w:tc>
      </w:tr>
      <w:tr w14:paraId="68D9F5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09" w:type="dxa"/>
          </w:tcPr>
          <w:p w14:paraId="0F7275EF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  <w:t>5</w:t>
            </w:r>
          </w:p>
        </w:tc>
        <w:tc>
          <w:tcPr>
            <w:tcW w:w="1035" w:type="dxa"/>
          </w:tcPr>
          <w:p w14:paraId="69732B39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  <w:t>陈烨</w:t>
            </w:r>
          </w:p>
        </w:tc>
        <w:tc>
          <w:tcPr>
            <w:tcW w:w="7192" w:type="dxa"/>
          </w:tcPr>
          <w:p w14:paraId="71BB42A8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  <w:t>小学数学跨学科主题的评价设计</w:t>
            </w:r>
          </w:p>
        </w:tc>
        <w:tc>
          <w:tcPr>
            <w:tcW w:w="1846" w:type="dxa"/>
          </w:tcPr>
          <w:p w14:paraId="158AB34C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  <w:t>2025.1.7</w:t>
            </w:r>
          </w:p>
        </w:tc>
        <w:tc>
          <w:tcPr>
            <w:tcW w:w="1931" w:type="dxa"/>
          </w:tcPr>
          <w:p w14:paraId="306E7B0E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  <w:t>常州市新北区教师发展中心</w:t>
            </w:r>
          </w:p>
        </w:tc>
        <w:tc>
          <w:tcPr>
            <w:tcW w:w="1461" w:type="dxa"/>
          </w:tcPr>
          <w:p w14:paraId="3A1A0664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  <w:t>区级</w:t>
            </w:r>
          </w:p>
        </w:tc>
      </w:tr>
      <w:tr w14:paraId="14AD1F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09" w:type="dxa"/>
          </w:tcPr>
          <w:p w14:paraId="192950CE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6</w:t>
            </w:r>
          </w:p>
        </w:tc>
        <w:tc>
          <w:tcPr>
            <w:tcW w:w="1035" w:type="dxa"/>
          </w:tcPr>
          <w:p w14:paraId="201DF9DF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倪敏</w:t>
            </w:r>
          </w:p>
        </w:tc>
        <w:tc>
          <w:tcPr>
            <w:tcW w:w="7192" w:type="dxa"/>
            <w:shd w:val="clear" w:color="auto" w:fill="auto"/>
            <w:vAlign w:val="top"/>
          </w:tcPr>
          <w:p w14:paraId="5E82829C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构建实践性育人方式</w:t>
            </w:r>
          </w:p>
        </w:tc>
        <w:tc>
          <w:tcPr>
            <w:tcW w:w="1846" w:type="dxa"/>
            <w:shd w:val="clear" w:color="auto" w:fill="auto"/>
            <w:vAlign w:val="top"/>
          </w:tcPr>
          <w:p w14:paraId="7BE05DEC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2024年9月</w:t>
            </w:r>
          </w:p>
        </w:tc>
        <w:tc>
          <w:tcPr>
            <w:tcW w:w="1931" w:type="dxa"/>
            <w:shd w:val="clear" w:color="auto" w:fill="auto"/>
            <w:vAlign w:val="top"/>
          </w:tcPr>
          <w:p w14:paraId="511CC843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新北区教师发展中心</w:t>
            </w:r>
          </w:p>
        </w:tc>
        <w:tc>
          <w:tcPr>
            <w:tcW w:w="1461" w:type="dxa"/>
          </w:tcPr>
          <w:p w14:paraId="5601D747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  <w:t>区级</w:t>
            </w:r>
          </w:p>
        </w:tc>
      </w:tr>
      <w:tr w14:paraId="373ACF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09" w:type="dxa"/>
          </w:tcPr>
          <w:p w14:paraId="3FE8F25D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7</w:t>
            </w:r>
          </w:p>
        </w:tc>
        <w:tc>
          <w:tcPr>
            <w:tcW w:w="1035" w:type="dxa"/>
          </w:tcPr>
          <w:p w14:paraId="7FB7BF63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倪敏</w:t>
            </w:r>
          </w:p>
        </w:tc>
        <w:tc>
          <w:tcPr>
            <w:tcW w:w="7192" w:type="dxa"/>
            <w:shd w:val="clear" w:color="auto" w:fill="auto"/>
            <w:vAlign w:val="top"/>
          </w:tcPr>
          <w:p w14:paraId="495631CE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以小人书为载体，开展数学学科实践</w:t>
            </w:r>
          </w:p>
        </w:tc>
        <w:tc>
          <w:tcPr>
            <w:tcW w:w="1846" w:type="dxa"/>
            <w:shd w:val="clear" w:color="auto" w:fill="auto"/>
            <w:vAlign w:val="top"/>
          </w:tcPr>
          <w:p w14:paraId="304DC1E5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2024年11月</w:t>
            </w:r>
          </w:p>
        </w:tc>
        <w:tc>
          <w:tcPr>
            <w:tcW w:w="1931" w:type="dxa"/>
            <w:shd w:val="clear" w:color="auto" w:fill="auto"/>
            <w:vAlign w:val="top"/>
          </w:tcPr>
          <w:p w14:paraId="5FE24335">
            <w:pPr>
              <w:widowControl/>
              <w:jc w:val="left"/>
              <w:textAlignment w:val="center"/>
              <w:rPr>
                <w:rFonts w:hint="default" w:ascii="宋体" w:hAnsi="宋体" w:eastAsia="宋体" w:cs="宋体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新北区教师发展中心</w:t>
            </w:r>
          </w:p>
        </w:tc>
        <w:tc>
          <w:tcPr>
            <w:tcW w:w="1461" w:type="dxa"/>
          </w:tcPr>
          <w:p w14:paraId="2E839D36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  <w:t>区级</w:t>
            </w:r>
          </w:p>
        </w:tc>
      </w:tr>
      <w:tr w14:paraId="72AD4E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09" w:type="dxa"/>
            <w:shd w:val="clear"/>
            <w:vAlign w:val="top"/>
          </w:tcPr>
          <w:p w14:paraId="2D10B79F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8</w:t>
            </w:r>
          </w:p>
        </w:tc>
        <w:tc>
          <w:tcPr>
            <w:tcW w:w="1035" w:type="dxa"/>
            <w:shd w:val="clear"/>
            <w:vAlign w:val="top"/>
          </w:tcPr>
          <w:p w14:paraId="2B60D6E9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倪敏</w:t>
            </w:r>
          </w:p>
        </w:tc>
        <w:tc>
          <w:tcPr>
            <w:tcW w:w="7192" w:type="dxa"/>
            <w:shd w:val="clear" w:color="auto" w:fill="auto"/>
            <w:vAlign w:val="top"/>
          </w:tcPr>
          <w:p w14:paraId="45E00E89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学科实践赋能课堂，数学活动启智增慧</w:t>
            </w:r>
          </w:p>
        </w:tc>
        <w:tc>
          <w:tcPr>
            <w:tcW w:w="1846" w:type="dxa"/>
            <w:shd w:val="clear" w:color="auto" w:fill="auto"/>
            <w:vAlign w:val="top"/>
          </w:tcPr>
          <w:p w14:paraId="59B3939B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2025年4月</w:t>
            </w:r>
          </w:p>
        </w:tc>
        <w:tc>
          <w:tcPr>
            <w:tcW w:w="1931" w:type="dxa"/>
            <w:shd w:val="clear" w:color="auto" w:fill="auto"/>
            <w:vAlign w:val="top"/>
          </w:tcPr>
          <w:p w14:paraId="6D0FEA62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新北区教师发展中心</w:t>
            </w:r>
          </w:p>
        </w:tc>
        <w:tc>
          <w:tcPr>
            <w:tcW w:w="1461" w:type="dxa"/>
            <w:shd w:val="clear"/>
            <w:vAlign w:val="top"/>
          </w:tcPr>
          <w:p w14:paraId="2A6B3C3C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  <w:t>区级</w:t>
            </w:r>
          </w:p>
        </w:tc>
      </w:tr>
      <w:tr w14:paraId="40D6EF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09" w:type="dxa"/>
            <w:shd w:val="clear"/>
            <w:vAlign w:val="top"/>
          </w:tcPr>
          <w:p w14:paraId="470B0658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9</w:t>
            </w:r>
          </w:p>
        </w:tc>
        <w:tc>
          <w:tcPr>
            <w:tcW w:w="1035" w:type="dxa"/>
            <w:shd w:val="clear"/>
            <w:vAlign w:val="top"/>
          </w:tcPr>
          <w:p w14:paraId="3068B303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倪敏</w:t>
            </w:r>
          </w:p>
        </w:tc>
        <w:tc>
          <w:tcPr>
            <w:tcW w:w="7192" w:type="dxa"/>
            <w:shd w:val="clear" w:color="auto" w:fill="auto"/>
            <w:vAlign w:val="top"/>
          </w:tcPr>
          <w:p w14:paraId="2400487D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数学学科实践的整体架构与课堂呈现</w:t>
            </w:r>
          </w:p>
        </w:tc>
        <w:tc>
          <w:tcPr>
            <w:tcW w:w="1846" w:type="dxa"/>
            <w:shd w:val="clear" w:color="auto" w:fill="auto"/>
            <w:vAlign w:val="top"/>
          </w:tcPr>
          <w:p w14:paraId="33C69AF9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2025年6月</w:t>
            </w:r>
          </w:p>
        </w:tc>
        <w:tc>
          <w:tcPr>
            <w:tcW w:w="1931" w:type="dxa"/>
            <w:shd w:val="clear" w:color="auto" w:fill="auto"/>
            <w:vAlign w:val="top"/>
          </w:tcPr>
          <w:p w14:paraId="29B3BFED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val="en-US" w:eastAsia="zh-CN" w:bidi="ar"/>
              </w:rPr>
              <w:t>新北区教师发展中心</w:t>
            </w:r>
          </w:p>
        </w:tc>
        <w:tc>
          <w:tcPr>
            <w:tcW w:w="1461" w:type="dxa"/>
            <w:shd w:val="clear"/>
            <w:vAlign w:val="top"/>
          </w:tcPr>
          <w:p w14:paraId="19A13DE1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  <w:lang w:bidi="ar"/>
              </w:rPr>
              <w:t>区级</w:t>
            </w:r>
          </w:p>
        </w:tc>
      </w:tr>
    </w:tbl>
    <w:p w14:paraId="6D57B0CA">
      <w:pPr>
        <w:jc w:val="center"/>
        <w:rPr>
          <w:rFonts w:hint="eastAsia" w:ascii="宋体" w:hAnsi="宋体" w:eastAsia="宋体"/>
          <w:b/>
          <w:bCs/>
          <w:color w:val="FF0000"/>
          <w:kern w:val="0"/>
          <w:sz w:val="28"/>
          <w:szCs w:val="28"/>
        </w:rPr>
      </w:pPr>
    </w:p>
    <w:p w14:paraId="121C27A2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3271DE3E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229A004A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790C23CF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 w14:paraId="6A8C1D53"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  <w:r>
        <w:rPr>
          <w:rFonts w:ascii="宋体" w:hAnsi="宋体" w:eastAsia="宋体"/>
          <w:b/>
          <w:bCs/>
          <w:color w:val="000000"/>
          <w:sz w:val="44"/>
          <w:szCs w:val="44"/>
        </w:rPr>
        <w:t xml:space="preserve">B13  </w:t>
      </w:r>
      <w:r>
        <w:rPr>
          <w:rFonts w:hint="eastAsia" w:ascii="宋体" w:hAnsi="宋体" w:eastAsia="宋体"/>
          <w:b/>
          <w:bCs/>
          <w:color w:val="000000"/>
          <w:sz w:val="44"/>
          <w:szCs w:val="44"/>
        </w:rPr>
        <w:t>讲座开设情况材料</w:t>
      </w:r>
    </w:p>
    <w:p w14:paraId="03A8401B">
      <w:pPr>
        <w:snapToGrid w:val="0"/>
        <w:jc w:val="center"/>
        <w:rPr>
          <w:rFonts w:hint="default"/>
          <w:lang w:bidi="ar"/>
        </w:rPr>
      </w:pPr>
      <w:r>
        <w:rPr>
          <w:rStyle w:val="9"/>
          <w:rFonts w:hint="default"/>
          <w:lang w:bidi="ar"/>
        </w:rPr>
        <w:t>材料1 省级讲座材料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065"/>
        <w:gridCol w:w="3827"/>
      </w:tblGrid>
      <w:tr w14:paraId="7AD1D8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103BF66B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 w14:paraId="06D28F9F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讲座证书</w:t>
            </w:r>
          </w:p>
        </w:tc>
        <w:tc>
          <w:tcPr>
            <w:tcW w:w="3827" w:type="dxa"/>
            <w:vAlign w:val="center"/>
          </w:tcPr>
          <w:p w14:paraId="2670AC9F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14:paraId="787E5E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50ED8693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请与表1序号一致</w:t>
            </w:r>
          </w:p>
        </w:tc>
        <w:tc>
          <w:tcPr>
            <w:tcW w:w="6065" w:type="dxa"/>
            <w:vAlign w:val="center"/>
          </w:tcPr>
          <w:p w14:paraId="0B195166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组织单位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 w14:paraId="698DCAC5">
            <w:pPr>
              <w:jc w:val="center"/>
              <w:rPr>
                <w:color w:val="FF0000"/>
              </w:rPr>
            </w:pPr>
          </w:p>
        </w:tc>
      </w:tr>
      <w:tr w14:paraId="4DD758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56A1E6BC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6065" w:type="dxa"/>
            <w:vAlign w:val="center"/>
          </w:tcPr>
          <w:p w14:paraId="5E977CD1">
            <w:pPr>
              <w:jc w:val="center"/>
            </w:pPr>
          </w:p>
        </w:tc>
        <w:tc>
          <w:tcPr>
            <w:tcW w:w="3827" w:type="dxa"/>
            <w:vAlign w:val="center"/>
          </w:tcPr>
          <w:p w14:paraId="5F942F2A">
            <w:pPr>
              <w:jc w:val="center"/>
            </w:pPr>
          </w:p>
        </w:tc>
      </w:tr>
      <w:tr w14:paraId="20CDDC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6D4DFCF0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065" w:type="dxa"/>
            <w:vAlign w:val="center"/>
          </w:tcPr>
          <w:p w14:paraId="6C8289DB">
            <w:pPr>
              <w:jc w:val="center"/>
            </w:pPr>
          </w:p>
        </w:tc>
        <w:tc>
          <w:tcPr>
            <w:tcW w:w="3827" w:type="dxa"/>
            <w:vAlign w:val="center"/>
          </w:tcPr>
          <w:p w14:paraId="2190A5BB">
            <w:pPr>
              <w:jc w:val="center"/>
            </w:pPr>
          </w:p>
        </w:tc>
      </w:tr>
    </w:tbl>
    <w:p w14:paraId="1DAFBB22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4F03DCF0"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9"/>
          <w:rFonts w:hint="default"/>
          <w:lang w:bidi="ar"/>
        </w:rPr>
        <w:t>材料2 市级讲座材料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065"/>
        <w:gridCol w:w="3827"/>
      </w:tblGrid>
      <w:tr w14:paraId="390171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27BD5E16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 w14:paraId="77E37B9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讲座证书</w:t>
            </w:r>
          </w:p>
        </w:tc>
        <w:tc>
          <w:tcPr>
            <w:tcW w:w="3827" w:type="dxa"/>
            <w:vAlign w:val="center"/>
          </w:tcPr>
          <w:p w14:paraId="1AF61F8E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14:paraId="70144C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71A11466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2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065" w:type="dxa"/>
            <w:vAlign w:val="center"/>
          </w:tcPr>
          <w:p w14:paraId="755F381B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组织单位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 w14:paraId="1EA60B6C">
            <w:pPr>
              <w:jc w:val="center"/>
              <w:rPr>
                <w:color w:val="FF0000"/>
              </w:rPr>
            </w:pPr>
          </w:p>
        </w:tc>
      </w:tr>
      <w:tr w14:paraId="76DC45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4CA9A44A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6065" w:type="dxa"/>
            <w:vAlign w:val="center"/>
          </w:tcPr>
          <w:p w14:paraId="53B3B115">
            <w:pPr>
              <w:jc w:val="center"/>
            </w:pPr>
            <w:r>
              <w:drawing>
                <wp:inline distT="0" distB="0" distL="0" distR="0">
                  <wp:extent cx="3707765" cy="2780665"/>
                  <wp:effectExtent l="0" t="0" r="0" b="0"/>
                  <wp:docPr id="2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" descr="descript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2780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31911EBC">
            <w:pPr>
              <w:jc w:val="center"/>
              <w:rPr>
                <w:i w:val="0"/>
                <w:strike w:val="0"/>
                <w:spacing w:val="0"/>
                <w:u w:val="none"/>
              </w:rPr>
            </w:pPr>
            <w:r>
              <w:rPr>
                <w:rStyle w:val="7"/>
                <w:i w:val="0"/>
                <w:strike w:val="0"/>
                <w:spacing w:val="0"/>
              </w:rPr>
              <w:fldChar w:fldCharType="begin"/>
            </w:r>
            <w:r>
              <w:rPr>
                <w:rStyle w:val="7"/>
                <w:i w:val="0"/>
                <w:strike w:val="0"/>
                <w:spacing w:val="0"/>
              </w:rPr>
              <w:instrText xml:space="preserve">HYPERLINK https://jky.czedu.cn/html/article6331145.html normalLink \tdfe -10 \tdlt text \tdlf FromInput \tdsub normalLink \tdkey zcsavw</w:instrText>
            </w:r>
            <w:r>
              <w:rPr>
                <w:rStyle w:val="7"/>
                <w:i w:val="0"/>
                <w:strike w:val="0"/>
                <w:spacing w:val="0"/>
              </w:rPr>
              <w:fldChar w:fldCharType="separate"/>
            </w:r>
            <w:r>
              <w:rPr>
                <w:rStyle w:val="7"/>
                <w:i w:val="0"/>
                <w:strike w:val="0"/>
                <w:spacing w:val="0"/>
              </w:rPr>
              <w:t>https://jky.czedu.cn/html/article6331145.html</w:t>
            </w:r>
            <w:r>
              <w:rPr>
                <w:i w:val="0"/>
                <w:strike w:val="0"/>
                <w:spacing w:val="0"/>
                <w:u w:val="none"/>
              </w:rPr>
              <w:fldChar w:fldCharType="end"/>
            </w:r>
          </w:p>
          <w:p w14:paraId="4412C128">
            <w:pPr>
              <w:jc w:val="center"/>
            </w:pPr>
          </w:p>
        </w:tc>
      </w:tr>
      <w:tr w14:paraId="043633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621D57A8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065" w:type="dxa"/>
            <w:vAlign w:val="center"/>
          </w:tcPr>
          <w:p w14:paraId="5BB211A8">
            <w:pPr>
              <w:jc w:val="center"/>
            </w:pPr>
            <w:r>
              <w:drawing>
                <wp:inline distT="0" distB="0" distL="0" distR="0">
                  <wp:extent cx="3555365" cy="2121535"/>
                  <wp:effectExtent l="0" t="0" r="0" b="0"/>
                  <wp:docPr id="5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" descr="descript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5365" cy="2121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71D43E90">
            <w:pPr>
              <w:jc w:val="center"/>
            </w:pPr>
            <w:r>
              <w:rPr>
                <w:rStyle w:val="7"/>
                <w:color w:val="auto"/>
              </w:rPr>
              <w:fldChar w:fldCharType="begin"/>
            </w:r>
            <w:r>
              <w:rPr>
                <w:rStyle w:val="7"/>
                <w:color w:val="auto"/>
              </w:rPr>
              <w:instrText xml:space="preserve">HYPERLINK https://jky.czedu.cn/html/article6606893.html normalLink \tdkey 8t0l9o \tdfe -10 \tdfn https%3A//jky.czedu.cn/html/article6606893.html \tdfu https://jky.czedu.cn/html/article6606893.html \tdlt inline </w:instrText>
            </w:r>
            <w:r>
              <w:rPr>
                <w:rStyle w:val="7"/>
                <w:color w:val="auto"/>
              </w:rPr>
              <w:fldChar w:fldCharType="separate"/>
            </w:r>
            <w:r>
              <w:rPr>
                <w:rStyle w:val="7"/>
                <w:color w:val="auto"/>
              </w:rPr>
              <w:t>https://jky.czedu.cn/html/article6606893.html</w:t>
            </w:r>
            <w:r>
              <w:rPr>
                <w:rStyle w:val="7"/>
                <w:color w:val="auto"/>
              </w:rPr>
              <w:fldChar w:fldCharType="end"/>
            </w:r>
          </w:p>
          <w:p w14:paraId="3692D855">
            <w:pPr>
              <w:jc w:val="center"/>
            </w:pPr>
          </w:p>
        </w:tc>
      </w:tr>
      <w:tr w14:paraId="56CD23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2C439F0F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6065" w:type="dxa"/>
            <w:vAlign w:val="center"/>
          </w:tcPr>
          <w:p w14:paraId="2C514A85">
            <w:pPr>
              <w:jc w:val="center"/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2592705" cy="3457575"/>
                  <wp:effectExtent l="0" t="0" r="0" b="7620"/>
                  <wp:docPr id="4" name="图片 4" descr="2024市级讲座《立足数学实践，构建实践型育人方式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024市级讲座《立足数学实践，构建实践型育人方式》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592705" cy="345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3396BC71">
            <w:pPr>
              <w:jc w:val="center"/>
            </w:pPr>
          </w:p>
        </w:tc>
      </w:tr>
    </w:tbl>
    <w:p w14:paraId="4F41C30B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4102D9DA">
      <w:pPr>
        <w:snapToGrid w:val="0"/>
        <w:jc w:val="center"/>
        <w:rPr>
          <w:rFonts w:ascii="宋体" w:hAnsi="宋体" w:eastAsia="宋体" w:cs="宋体"/>
          <w:sz w:val="24"/>
        </w:rPr>
      </w:pPr>
    </w:p>
    <w:p w14:paraId="1E0DE4F9"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9"/>
          <w:rFonts w:hint="default"/>
          <w:lang w:bidi="ar"/>
        </w:rPr>
        <w:t>材料3 区级讲座材料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065"/>
        <w:gridCol w:w="3827"/>
      </w:tblGrid>
      <w:tr w14:paraId="7BC354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3DB3C8A4"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 w14:paraId="428D5BC0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讲座证书</w:t>
            </w:r>
          </w:p>
        </w:tc>
        <w:tc>
          <w:tcPr>
            <w:tcW w:w="3827" w:type="dxa"/>
            <w:vAlign w:val="center"/>
          </w:tcPr>
          <w:p w14:paraId="2233FE7B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 w14:paraId="03E67D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47DE6758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3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065" w:type="dxa"/>
            <w:vAlign w:val="center"/>
          </w:tcPr>
          <w:p w14:paraId="1DD26459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组织单位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 w14:paraId="6E2FF126">
            <w:pPr>
              <w:jc w:val="center"/>
              <w:rPr>
                <w:color w:val="FF0000"/>
              </w:rPr>
            </w:pPr>
          </w:p>
        </w:tc>
      </w:tr>
      <w:tr w14:paraId="0D68D4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7D5C3354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6065" w:type="dxa"/>
            <w:vAlign w:val="center"/>
          </w:tcPr>
          <w:p w14:paraId="0E3D07D6">
            <w:pPr>
              <w:jc w:val="center"/>
            </w:pPr>
            <w:r>
              <w:drawing>
                <wp:inline distT="0" distB="0" distL="0" distR="0">
                  <wp:extent cx="3707765" cy="2578100"/>
                  <wp:effectExtent l="0" t="0" r="0" b="0"/>
                  <wp:docPr id="8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" descr="descript"/>
                          <pic:cNvPicPr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2578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5B0D9F55">
            <w:pPr>
              <w:jc w:val="center"/>
            </w:pPr>
            <w:r>
              <w:rPr>
                <w:rStyle w:val="7"/>
                <w:color w:val="auto"/>
              </w:rPr>
              <w:fldChar w:fldCharType="begin"/>
            </w:r>
            <w:r>
              <w:rPr>
                <w:rStyle w:val="7"/>
                <w:color w:val="auto"/>
              </w:rPr>
              <w:instrText xml:space="preserve">HYPERLINK http://www.xjxx.xbjyfw.cn/teacher/office/reddocsxb/doc_detail.aspx?id=592515 normalLink \tdkey 5qf4gx \tdfe -10 \tdfn http%3A//www.xjxx.xbjyfw.cn/teacher/office/reddocsxb/doc_detail.aspx%3Fid%3D592515 \tdfu http://www.xjxx.xbjyfw.cn/teacher/office/reddocsxb/doc_detail.aspx?id=592515 \tdlt inline </w:instrText>
            </w:r>
            <w:r>
              <w:rPr>
                <w:rStyle w:val="7"/>
                <w:color w:val="auto"/>
              </w:rPr>
              <w:fldChar w:fldCharType="separate"/>
            </w:r>
            <w:r>
              <w:rPr>
                <w:rStyle w:val="7"/>
                <w:color w:val="auto"/>
              </w:rPr>
              <w:t>http://www.xjxx.xbjyfw.cn/teacher/office/reddocsxb/doc_detail.aspx?id=592515</w:t>
            </w:r>
            <w:r>
              <w:rPr>
                <w:rStyle w:val="7"/>
                <w:color w:val="auto"/>
              </w:rPr>
              <w:fldChar w:fldCharType="end"/>
            </w:r>
          </w:p>
        </w:tc>
      </w:tr>
      <w:tr w14:paraId="72E9AF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4065FDF9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6065" w:type="dxa"/>
            <w:vAlign w:val="center"/>
          </w:tcPr>
          <w:p w14:paraId="3A8CCAD6">
            <w:pPr>
              <w:jc w:val="center"/>
            </w:pPr>
            <w:r>
              <w:drawing>
                <wp:inline distT="0" distB="0" distL="0" distR="0">
                  <wp:extent cx="3707765" cy="2106930"/>
                  <wp:effectExtent l="0" t="0" r="0" b="0"/>
                  <wp:docPr id="11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" descr="descript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2107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2DAE8754">
            <w:pPr>
              <w:jc w:val="center"/>
            </w:pPr>
            <w:r>
              <w:t>http://www.xbjyfw.cn/html/article6339691.html</w:t>
            </w:r>
          </w:p>
          <w:p w14:paraId="2B916876">
            <w:pPr>
              <w:jc w:val="center"/>
            </w:pPr>
          </w:p>
        </w:tc>
      </w:tr>
      <w:tr w14:paraId="69975D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 w14:paraId="78D4A3A9">
            <w:pPr>
              <w:jc w:val="center"/>
            </w:pPr>
            <w:r>
              <w:t>3</w:t>
            </w:r>
          </w:p>
        </w:tc>
        <w:tc>
          <w:tcPr>
            <w:tcW w:w="6065" w:type="dxa"/>
            <w:vAlign w:val="center"/>
          </w:tcPr>
          <w:p w14:paraId="62E3F791">
            <w:pPr>
              <w:jc w:val="center"/>
            </w:pPr>
            <w:r>
              <w:drawing>
                <wp:inline distT="0" distB="0" distL="0" distR="0">
                  <wp:extent cx="3707765" cy="2125980"/>
                  <wp:effectExtent l="0" t="0" r="0" b="0"/>
                  <wp:docPr id="14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" descr="descript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2126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31974C48">
            <w:pPr>
              <w:jc w:val="center"/>
            </w:pPr>
            <w:r>
              <w:t>http://www.xbjyfw.cn/html/article6434730.html</w:t>
            </w:r>
          </w:p>
          <w:p w14:paraId="6F1A06E8">
            <w:pPr>
              <w:jc w:val="center"/>
            </w:pPr>
          </w:p>
        </w:tc>
      </w:tr>
      <w:tr w14:paraId="06BC7A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dxa"/>
            <w:vAlign w:val="center"/>
          </w:tcPr>
          <w:p w14:paraId="21D80ECF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6065" w:type="dxa"/>
            <w:vAlign w:val="center"/>
          </w:tcPr>
          <w:p w14:paraId="3E569418">
            <w:pPr>
              <w:jc w:val="center"/>
            </w:pPr>
            <w:r>
              <w:drawing>
                <wp:inline distT="0" distB="0" distL="0" distR="0">
                  <wp:extent cx="3707765" cy="2780665"/>
                  <wp:effectExtent l="0" t="0" r="0" b="0"/>
                  <wp:docPr id="17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" descr="descript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7765" cy="2780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770893D0">
            <w:pPr>
              <w:jc w:val="center"/>
            </w:pPr>
            <w:r>
              <w:rPr>
                <w:i w:val="0"/>
                <w:strike w:val="0"/>
                <w:spacing w:val="0"/>
                <w:u w:val="none"/>
              </w:rPr>
              <w:t>http://www.xbjyfw.cn/html/article6311642.html</w:t>
            </w:r>
          </w:p>
        </w:tc>
      </w:tr>
      <w:tr w14:paraId="44F9B4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dxa"/>
            <w:vAlign w:val="center"/>
          </w:tcPr>
          <w:p w14:paraId="716F5F37">
            <w:pPr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6065" w:type="dxa"/>
            <w:vAlign w:val="center"/>
          </w:tcPr>
          <w:p w14:paraId="58626275">
            <w:pPr>
              <w:jc w:val="center"/>
            </w:pPr>
            <w:r>
              <w:drawing>
                <wp:inline distT="0" distB="0" distL="0" distR="0">
                  <wp:extent cx="3600450" cy="2200275"/>
                  <wp:effectExtent l="0" t="0" r="0" b="0"/>
                  <wp:docPr id="20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" descr="descript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450" cy="220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6F723070">
            <w:pPr>
              <w:jc w:val="center"/>
            </w:pPr>
            <w:r>
              <w:rPr>
                <w:rStyle w:val="7"/>
                <w:color w:val="auto"/>
              </w:rPr>
              <w:fldChar w:fldCharType="begin"/>
            </w:r>
            <w:r>
              <w:rPr>
                <w:rStyle w:val="7"/>
                <w:color w:val="auto"/>
              </w:rPr>
              <w:instrText xml:space="preserve">HYPERLINK http://www.bnsx.xbjyfw.cn/teacher/office/reddocsxb/doc_detail.aspx?id=616233&amp;taskid=12742335 normalLink \tdkey badylr \tdfe -10 \tdfn http%3A//www.bnsx.xbjyfw.cn/teacher/office/reddocsxb/doc_detail.aspx%3Fid%3D616233%26taskid%3D12742335 \tdfu http://www.bnsx.xbjyfw.cn/teacher/office/reddocsxb/doc_detail.aspx?id=616233&amp;taskid=12742335 \tdlt inline </w:instrText>
            </w:r>
            <w:r>
              <w:rPr>
                <w:rStyle w:val="7"/>
                <w:color w:val="auto"/>
              </w:rPr>
              <w:fldChar w:fldCharType="separate"/>
            </w:r>
            <w:r>
              <w:rPr>
                <w:rStyle w:val="7"/>
                <w:color w:val="auto"/>
              </w:rPr>
              <w:t>http://www.bnsx.xbjyfw.cn/teacher/office/reddocsxb/doc_detail.aspx?id=616233&amp;taskid=12742335</w:t>
            </w:r>
            <w:r>
              <w:rPr>
                <w:rStyle w:val="7"/>
                <w:color w:val="auto"/>
              </w:rPr>
              <w:fldChar w:fldCharType="end"/>
            </w:r>
          </w:p>
        </w:tc>
      </w:tr>
      <w:tr w14:paraId="4950CB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dxa"/>
            <w:vAlign w:val="center"/>
          </w:tcPr>
          <w:p w14:paraId="2F934C00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6065" w:type="dxa"/>
            <w:vAlign w:val="top"/>
          </w:tcPr>
          <w:p w14:paraId="25579115">
            <w:pPr>
              <w:jc w:val="center"/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3376930" cy="2139315"/>
                  <wp:effectExtent l="0" t="0" r="0" b="0"/>
                  <wp:docPr id="10" name="图片 10" descr="2024.9区级讲座《构建实践型育人方式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2024.9区级讲座《构建实践型育人方式》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1646" t="10136" b="6782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376930" cy="2139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5F9DCFDE">
            <w:pPr>
              <w:jc w:val="center"/>
              <w:rPr>
                <w:rStyle w:val="7"/>
                <w:color w:val="auto"/>
              </w:rPr>
            </w:pPr>
          </w:p>
        </w:tc>
      </w:tr>
      <w:tr w14:paraId="335AFA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dxa"/>
            <w:vAlign w:val="center"/>
          </w:tcPr>
          <w:p w14:paraId="7CA41EBA"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6065" w:type="dxa"/>
            <w:vAlign w:val="top"/>
          </w:tcPr>
          <w:p w14:paraId="5827D932">
            <w:pPr>
              <w:jc w:val="both"/>
            </w:pPr>
            <w:r>
              <w:rPr>
                <w:rFonts w:hint="default"/>
                <w:vertAlign w:val="baseline"/>
                <w:lang w:val="en-US" w:eastAsia="zh-CN"/>
              </w:rPr>
              <w:drawing>
                <wp:inline distT="0" distB="0" distL="114300" distR="114300">
                  <wp:extent cx="2231390" cy="3457575"/>
                  <wp:effectExtent l="0" t="0" r="9525" b="3810"/>
                  <wp:docPr id="12" name="图片 12" descr="2024.12区级讲座《以小人书为载体，开展数学学科实践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2024.12区级讲座《以小人书为载体，开展数学学科实践》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9182" t="4660" r="10553" b="2056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231390" cy="345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 w14:paraId="704E9DEC">
            <w:pPr>
              <w:jc w:val="center"/>
              <w:rPr>
                <w:rStyle w:val="7"/>
                <w:color w:val="auto"/>
              </w:rPr>
            </w:pPr>
          </w:p>
        </w:tc>
      </w:tr>
      <w:tr w14:paraId="4D36A3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dxa"/>
            <w:vAlign w:val="center"/>
          </w:tcPr>
          <w:p w14:paraId="3A7DDB2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6065" w:type="dxa"/>
            <w:shd w:val="clear"/>
            <w:vAlign w:val="center"/>
          </w:tcPr>
          <w:p w14:paraId="464D0874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sz w:val="24"/>
              </w:rPr>
              <w:drawing>
                <wp:inline distT="0" distB="0" distL="0" distR="0">
                  <wp:extent cx="2931160" cy="2357120"/>
                  <wp:effectExtent l="0" t="0" r="2540" b="5080"/>
                  <wp:docPr id="1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" descr="descript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1160" cy="2357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shd w:val="clear"/>
            <w:vAlign w:val="center"/>
          </w:tcPr>
          <w:p w14:paraId="2F680770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7"/>
                <w:color w:val="auto"/>
              </w:rPr>
              <w:fldChar w:fldCharType="begin"/>
            </w:r>
            <w:r>
              <w:rPr>
                <w:rStyle w:val="7"/>
                <w:color w:val="auto"/>
              </w:rPr>
              <w:instrText xml:space="preserve">HYPERLINK http://www.xbjyfw.cn/html/article6688642.html normalLink \tdkey jcvfzb \tdfe -10 \tdfn http%3A//www.xbjyfw.cn/html/article6688642.html \tdfu http://www.xbjyfw.cn/html/article6688642.html \tdlt inline </w:instrText>
            </w:r>
            <w:r>
              <w:rPr>
                <w:rStyle w:val="7"/>
                <w:color w:val="auto"/>
              </w:rPr>
              <w:fldChar w:fldCharType="separate"/>
            </w:r>
            <w:r>
              <w:rPr>
                <w:rStyle w:val="7"/>
                <w:color w:val="auto"/>
              </w:rPr>
              <w:t>http://www.xbjyfw.cn/html/article6688642.html</w:t>
            </w:r>
            <w:r>
              <w:rPr>
                <w:rStyle w:val="7"/>
                <w:color w:val="auto"/>
              </w:rPr>
              <w:fldChar w:fldCharType="end"/>
            </w:r>
          </w:p>
        </w:tc>
      </w:tr>
      <w:tr w14:paraId="3B36E4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1585" w:type="dxa"/>
            <w:vAlign w:val="center"/>
          </w:tcPr>
          <w:p w14:paraId="0754756C">
            <w:pPr>
              <w:jc w:val="center"/>
              <w:rPr>
                <w:rFonts w:hint="default"/>
                <w:lang w:val="en-US" w:eastAsia="zh-CN"/>
              </w:rPr>
            </w:pPr>
            <w:bookmarkStart w:id="1" w:name="_GoBack" w:colFirst="1" w:colLast="2"/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6065" w:type="dxa"/>
            <w:shd w:val="clear"/>
            <w:vAlign w:val="center"/>
          </w:tcPr>
          <w:p w14:paraId="196D9419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sz w:val="24"/>
              </w:rPr>
              <w:drawing>
                <wp:inline distT="0" distB="0" distL="0" distR="0">
                  <wp:extent cx="3239770" cy="2502535"/>
                  <wp:effectExtent l="0" t="0" r="17780" b="12065"/>
                  <wp:docPr id="3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" descr="descript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2502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shd w:val="clear"/>
            <w:vAlign w:val="center"/>
          </w:tcPr>
          <w:p w14:paraId="76A5DA41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Style w:val="7"/>
                <w:color w:val="auto"/>
              </w:rPr>
              <w:fldChar w:fldCharType="begin"/>
            </w:r>
            <w:r>
              <w:rPr>
                <w:rStyle w:val="7"/>
                <w:color w:val="auto"/>
              </w:rPr>
              <w:instrText xml:space="preserve">HYPERLINK http://www.xbjyfw.cn/html/article6781153.html normalLink \tdkey g4qn02 \tdfe -10 \tdfn http%3A//www.xbjyfw.cn/html/article6781153.html \tdfu http://www.xbjyfw.cn/html/article6781153.html \tdlt inline </w:instrText>
            </w:r>
            <w:r>
              <w:rPr>
                <w:rStyle w:val="7"/>
                <w:color w:val="auto"/>
              </w:rPr>
              <w:fldChar w:fldCharType="separate"/>
            </w:r>
            <w:r>
              <w:rPr>
                <w:rStyle w:val="7"/>
                <w:color w:val="auto"/>
              </w:rPr>
              <w:t>http://www.xbjyfw.cn/html/article6781153.html</w:t>
            </w:r>
            <w:r>
              <w:rPr>
                <w:rStyle w:val="7"/>
                <w:color w:val="auto"/>
              </w:rPr>
              <w:fldChar w:fldCharType="end"/>
            </w:r>
          </w:p>
        </w:tc>
      </w:tr>
      <w:bookmarkEnd w:id="1"/>
    </w:tbl>
    <w:p w14:paraId="596820B2">
      <w:pPr>
        <w:snapToGrid w:val="0"/>
        <w:rPr>
          <w:rFonts w:ascii="宋体" w:hAnsi="宋体" w:eastAsia="宋体"/>
          <w:b/>
          <w:bCs/>
          <w:color w:val="000000"/>
          <w:sz w:val="28"/>
          <w:szCs w:val="28"/>
        </w:rPr>
      </w:pPr>
    </w:p>
    <w:p w14:paraId="024AEB68">
      <w:pPr>
        <w:jc w:val="center"/>
        <w:rPr>
          <w:b/>
          <w:bCs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/>
  </w:endnote>
  <w:endnote w:type="continuationSeparator" w:id="1">
    <w:p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/>
  </w:footnote>
  <w:footnote w:type="continuationSeparator" w:id="1">
    <w:p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5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YxMzgwNzQ2MmE1NTE4NDNlMDIzYTY5MGI4YjY0ZTAifQ=="/>
  </w:docVars>
  <w:rsids>
    <w:rsidRoot w:val="007556A2"/>
    <w:rsid w:val="00173FA8"/>
    <w:rsid w:val="00282DF4"/>
    <w:rsid w:val="002A01EA"/>
    <w:rsid w:val="002F03E8"/>
    <w:rsid w:val="0035480C"/>
    <w:rsid w:val="00441DDE"/>
    <w:rsid w:val="00567B1C"/>
    <w:rsid w:val="00680888"/>
    <w:rsid w:val="006B301E"/>
    <w:rsid w:val="007556A2"/>
    <w:rsid w:val="00767F58"/>
    <w:rsid w:val="007E652B"/>
    <w:rsid w:val="00857E35"/>
    <w:rsid w:val="0099390C"/>
    <w:rsid w:val="00A10CE7"/>
    <w:rsid w:val="00AA5154"/>
    <w:rsid w:val="00AD38E7"/>
    <w:rsid w:val="00BB4E0B"/>
    <w:rsid w:val="00C00A0B"/>
    <w:rsid w:val="00CA1A91"/>
    <w:rsid w:val="00DB651E"/>
    <w:rsid w:val="00ED3513"/>
    <w:rsid w:val="04664A43"/>
    <w:rsid w:val="04FD10E9"/>
    <w:rsid w:val="0873206B"/>
    <w:rsid w:val="09405F3B"/>
    <w:rsid w:val="0C0444C5"/>
    <w:rsid w:val="0EB6172B"/>
    <w:rsid w:val="11632393"/>
    <w:rsid w:val="17371525"/>
    <w:rsid w:val="1860228C"/>
    <w:rsid w:val="1CA11007"/>
    <w:rsid w:val="1D60233E"/>
    <w:rsid w:val="1F061775"/>
    <w:rsid w:val="20B736BA"/>
    <w:rsid w:val="21F53626"/>
    <w:rsid w:val="222E1FA2"/>
    <w:rsid w:val="229C10C8"/>
    <w:rsid w:val="23626B1C"/>
    <w:rsid w:val="250F61C2"/>
    <w:rsid w:val="25847A9B"/>
    <w:rsid w:val="267B47B0"/>
    <w:rsid w:val="26806A39"/>
    <w:rsid w:val="2708452B"/>
    <w:rsid w:val="2A897858"/>
    <w:rsid w:val="31C936BD"/>
    <w:rsid w:val="31D80455"/>
    <w:rsid w:val="33691AE5"/>
    <w:rsid w:val="35990E80"/>
    <w:rsid w:val="365B56BB"/>
    <w:rsid w:val="397A2194"/>
    <w:rsid w:val="3A8E189D"/>
    <w:rsid w:val="3AE82C1B"/>
    <w:rsid w:val="3C877459"/>
    <w:rsid w:val="3D271561"/>
    <w:rsid w:val="41EA5032"/>
    <w:rsid w:val="43BD29AF"/>
    <w:rsid w:val="44647CC4"/>
    <w:rsid w:val="4AE23F72"/>
    <w:rsid w:val="4D570F71"/>
    <w:rsid w:val="4D946D5E"/>
    <w:rsid w:val="4DB30006"/>
    <w:rsid w:val="51BC26B3"/>
    <w:rsid w:val="5483009F"/>
    <w:rsid w:val="54967355"/>
    <w:rsid w:val="55C455B4"/>
    <w:rsid w:val="60070D21"/>
    <w:rsid w:val="6221696E"/>
    <w:rsid w:val="65146E65"/>
    <w:rsid w:val="669924E4"/>
    <w:rsid w:val="66D457C1"/>
    <w:rsid w:val="67DA08F2"/>
    <w:rsid w:val="68251656"/>
    <w:rsid w:val="69FD72F2"/>
    <w:rsid w:val="6B865AF4"/>
    <w:rsid w:val="6C734478"/>
    <w:rsid w:val="6D6E1218"/>
    <w:rsid w:val="6EEA5B71"/>
    <w:rsid w:val="6F4F392C"/>
    <w:rsid w:val="6FCD3309"/>
    <w:rsid w:val="6FE91AB2"/>
    <w:rsid w:val="74B25C81"/>
    <w:rsid w:val="75F15D13"/>
    <w:rsid w:val="7605782D"/>
    <w:rsid w:val="76145DCF"/>
    <w:rsid w:val="7AE137BD"/>
    <w:rsid w:val="7D3D7A8C"/>
    <w:rsid w:val="7E530E1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页眉 字符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font5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  <w:style w:type="character" w:customStyle="1" w:styleId="10">
    <w:name w:val="页脚 字符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10</Pages>
  <Words>645</Words>
  <Characters>1095</Characters>
  <TotalTime>0</TotalTime>
  <ScaleCrop>false</ScaleCrop>
  <LinksUpToDate>false</LinksUpToDate>
  <CharactersWithSpaces>1109</CharactersWithSpaces>
  <Application>WPS Office_12.1.0.21541_F1E327BC-269C-435d-A152-05C5408002CA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2025-06-23T15:24:00Z</dcterms:created>
  <dc:creator>Apple</dc:creator>
  <cp:lastModifiedBy>admin</cp:lastModifiedBy>
  <dcterms:modified xsi:type="dcterms:W3CDTF">2025-06-29T08:22:03Z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eyJoZGlkIjoiODg2MjNhY2UxYTY1YjM3ZDk4N2ExMmQzMWI1ZGRiOGEifQ==</vt:lpwstr>
  </property>
  <property fmtid="{D5CDD505-2E9C-101B-9397-08002B2CF9AE}" pid="3" name="KSOProductBuildVer">
    <vt:lpwstr>2052-12.1.0.21541</vt:lpwstr>
  </property>
  <property fmtid="{D5CDD505-2E9C-101B-9397-08002B2CF9AE}" pid="4" name="ICV">
    <vt:lpwstr>F7E817D214C34DEF8E446551D2F31821_12</vt:lpwstr>
  </property>
</Properties>
</file>