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DE1D">
      <w:pPr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rFonts w:hint="eastAsia"/>
          <w:b/>
          <w:bCs/>
          <w:lang w:eastAsia="zh-CN"/>
        </w:rPr>
        <w:t>附件3：关于“核心素养”和“语文学习任务群”理论学习体会汇编</w:t>
      </w:r>
    </w:p>
    <w:p w14:paraId="44A2B306">
      <w:pPr>
        <w:rPr>
          <w:rFonts w:hint="eastAsia"/>
          <w:b/>
          <w:bCs/>
          <w:lang w:eastAsia="zh-CN"/>
        </w:rPr>
      </w:pPr>
    </w:p>
    <w:p w14:paraId="323F4A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核心素养导向下的语文学习任务群实践与思考</w:t>
      </w:r>
    </w:p>
    <w:p w14:paraId="653AE8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华书晴</w:t>
      </w:r>
    </w:p>
    <w:p w14:paraId="0E3D4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在深化语文课程改革的浪潮中，“核心素养”与“语文学习任务群”已成为指引我们教学实践的明灯。通过对相关理论的学习，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开设了</w:t>
      </w:r>
      <w:r>
        <w:rPr>
          <w:rFonts w:hint="eastAsia" w:ascii="宋体" w:hAnsi="宋体" w:eastAsia="宋体" w:cs="宋体"/>
          <w:sz w:val="24"/>
          <w:szCs w:val="24"/>
        </w:rPr>
        <w:t>《唐雎不辱使命》与《鱼我所欲也》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两节公开课</w:t>
      </w:r>
      <w:r>
        <w:rPr>
          <w:rFonts w:hint="eastAsia" w:ascii="宋体" w:hAnsi="宋体" w:eastAsia="宋体" w:cs="宋体"/>
          <w:sz w:val="24"/>
          <w:szCs w:val="24"/>
        </w:rPr>
        <w:t>，深刻体会到核心素养如何借由任务群这一载体，在课堂上生根发芽、开花结果。</w:t>
      </w:r>
    </w:p>
    <w:p w14:paraId="71872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素养并非空中楼阁，它需要借助真实、有意义的“语文学习任务群”落地生根。任务群强调以任务驱动学习，在整合的语言实践活动中综合培养学生的语言能力、思维品质、审美情趣与文化理解。这要求我们超越传统的知识灌输模式，转而设计能激发学生深度参与、主动探究的学习情境与活动。</w:t>
      </w:r>
    </w:p>
    <w:p w14:paraId="2FA8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思辨之光在任务情境中闪耀。《唐雎不辱使命》教学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。没有拘泥于字词翻译与情节梳理，而是创造性地设置了一个“语文报编辑部回信答疑”的真实任务情境。当学生化身编辑部成员，面对“小新”同学对文本情节、人物、细节的三重尖锐质疑时，他们被自然地卷入了一场深度思辨的漩涡：“真假之辨”引导学生穿透文字表象，剖析秦王“易地”许诺背后的欺诈本质与强权逻辑；“虚构手法之辩”则启发学生理解文学创作中形象塑造与精神寄托的艺术匠心。学生在合作探究、史料辨析、角色代入中，不仅提升了思维的敏捷性、灵活性、批判性，更锤炼了有理有据表达观点的能力。这个围绕核心质疑展开的思辨任务群，将语言建构与运用、思维发展与提升、文化传承与理解、审美鉴赏与创造完美融合，体现了素养培育的整体性。</w:t>
      </w:r>
    </w:p>
    <w:p w14:paraId="28C5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《鱼我所欲也》的教学设计则展现了任务群如何引导学生叩击经典的思想内核。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课堂中</w:t>
      </w:r>
      <w:r>
        <w:rPr>
          <w:rFonts w:hint="eastAsia" w:ascii="宋体" w:hAnsi="宋体" w:eastAsia="宋体" w:cs="宋体"/>
          <w:sz w:val="24"/>
          <w:szCs w:val="24"/>
        </w:rPr>
        <w:t>以“欲”字为钥，从构字法溯源（“欠”表不足），巧妙串联起“鱼”“熊掌”“生”“义”等概念，精准聚焦“选择”与“义”两大核心议题。三个层层递进的小任务——寻中心论点、析论证方法、梳论证思路——构成了一个逻辑严密的探究链。学生在此过程中，不仅积累了文言词汇，更通过梳理孟子严密的逻辑推演（比喻、类比、对比论证），切身感受到其“舍生取义”价值观的磅礴力量与崇高美感。对孟子哲学思想的探讨，使学生得以触摸中华文化中关于生命价值与道德抉择的千年思考，文化自信与认同感油然而生。这堂课正是通过精当的任务设计，将语言文字的学习升华为一场深刻的文化体认与价值思辨之旅。</w:t>
      </w:r>
    </w:p>
    <w:p w14:paraId="6D552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“士不可以不弘毅，任重而道远。”《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唐雎不辱使命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课的结语亦道出了语文教师的使命。在核心素养的引领下，以语文学习任务群为实践路径，我们将努力让课堂成为学生语言能力拔节、思维火花迸射、文化血脉赓续、审美情怀滋长的沃土。路虽远，行则将至；事虽难，做则必成。我将继续探索，让素养之光，照亮每一个学生的语文学习之旅。</w:t>
      </w:r>
    </w:p>
    <w:p w14:paraId="792A7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4E3D7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E311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2.在小说“审丑”教学中提升学生思维能力</w:t>
      </w:r>
    </w:p>
    <w:p w14:paraId="267A4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王颖茹</w:t>
      </w:r>
    </w:p>
    <w:p w14:paraId="2181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长期以来，在我们的小说教学中常常片面追求审美教育，而忽视审丑教育。其实，丑与美并非完全对立，审丑也是审美的重要组成部分。在审丑教育的过程中不光可以涵养学生审美能力，也能进一步发展其思维能力。我们可以在对丑之形象、现象、意象、情绪的感知鉴赏中提升学生的理解力、分析力和判断力；在对丑的辨析中训练学生的批判性思维和创造性思维。在对丑的辨析中训练学生的批判性思维和创造性思维。</w:t>
      </w:r>
    </w:p>
    <w:p w14:paraId="4A7A7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，语文老师要善于挖掘小说中的“丑”之资源。如扭曲的、丑恶的人性，如市侩气的小市民杨二嫂、胡屠夫；势力、嫌贫爱富的菲利普夫妇。环境和人物心境之丑，《故乡》中自然环境的阴晦、萧索，以及人与人相互隔膜、无法沟通的社会环境。老师在挖掘这些丑的资源后，要善于甄别，将它们转化成合适的教学资源，以促进学生思维能力等核心素养的提升。我们可以带领学生在演读中感悟丑，在对比中辨别丑，增强学生的形象性思维。</w:t>
      </w:r>
    </w:p>
    <w:p w14:paraId="6117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感悟文学形象、环境、意象等丑之后，我们需要引导学生深入挖掘丑的成因，探究隐藏在丑背后的社会问题及文化心理动机，挖掘创作动机，以培养学生思维的深刻性。具体可采取以下几种方法：1.联背景，知人论世。2.抓因果，究主题。3.析象征，明隐喻。</w:t>
      </w:r>
    </w:p>
    <w:p w14:paraId="455B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小说教学中，教师不光要带领学生读丑、审丑、探丑、更要引导学生反思丑，丑真的丑吗？丑中有没有值得肯定之处？丑的背后寄寓作者怎样的理想？联系实际从不同角度对丑进行再审视，有助于破除传统的二元对立思维，在辩证与批判中更新对美与丑的认知。</w:t>
      </w:r>
    </w:p>
    <w:p w14:paraId="7C5D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可以丑中见美。“天下皆知美之为美，斯恶已。”美与丑在一定条件可以相互转化，需要我们辩证看态。从接受美学的视角来看，丑本身也是审美对象。大观园里的刘姥姥以扮丑、插科打诨逗的方式令贾府上下无不捧腹，让平日肃穆的大家族松弛下来，这本身就是一种化丑为美的能力。联读刘姥姥三进贾府的相关情节，我们更是能感受到这个社会底层的老者粗俗背后的善良本真，体会到作者寄寓其中的同情与悲悯。丑的背后隐藏着人性之光。</w:t>
      </w:r>
    </w:p>
    <w:p w14:paraId="5797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可以丑中见力。在对丑的书写中往往倾注作家批判的力度与深邃的社会洞察力。小说中的丑角常常是一面镜子，映射光怪陆离的社会，范进中举后的疯态折射的是科举制度对读书人的毒害，而看客对他的态度变化则诠释着世态炎凉。鲁迅在《故乡》中将批判与反思的的矛头指向乡土中国、指向国民性、也指向自己；曹雪芹设计刘姥姥三进贾府，以村妇之眼看钟鸣鼎食的奢华，看大厦倾颓的败落，在荣衰转变之际预示封建王朝的没落……</w:t>
      </w:r>
    </w:p>
    <w:p w14:paraId="6E25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我们还可以丑中见情。鲁迅对麻木的闰土的同情是显而易见，“辛苦恣睢”的杨二嫂也并非本来如此。在时代更迭的对比中，我们看到时代的尘埃，理想的渺茫，启蒙的无奈。《三顾茅庐》中作者用张飞的粗鲁与暴躁极力衬托玄德的礼贤下士，背后寄寓着作家世人怀才不遇的悲慨与对古代贤明君主的向往。 </w:t>
      </w:r>
    </w:p>
    <w:p w14:paraId="3ABE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ABC9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59D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3.关于“核心素养”和“语文学习任务群”的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理论学习体会</w:t>
      </w:r>
    </w:p>
    <w:p w14:paraId="024A3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潘颖</w:t>
      </w:r>
    </w:p>
    <w:p w14:paraId="3648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身为初中语文教师，耕耘于三尺讲台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已四年</w:t>
      </w:r>
      <w:r>
        <w:rPr>
          <w:rFonts w:hint="eastAsia" w:ascii="宋体" w:hAnsi="宋体" w:eastAsia="宋体" w:cs="宋体"/>
          <w:sz w:val="24"/>
          <w:szCs w:val="24"/>
        </w:rPr>
        <w:t>，教材更替、教法变迁，我始终在摸索：何为语文教育的真义？当课标从“三维目标”华丽蜕变为“核心素养”，当“语文学习任务群”如新星般照亮课程结构，我才如拨云见日，看见语文教学从未有过的深邃与辽阔。</w:t>
      </w:r>
    </w:p>
    <w:p w14:paraId="124CE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素养——语言、思维、审美、文化四维之灯塔，它不再是零散知识的拼凑，而是学生生命成长的整全蓝图。过往教学，常如庖丁解牛般精细拆解文本，字词句篇逐项剖析，却往往只见树木不见森林。学生们熟记修辞手法，却未必能体味“蒹葭苍苍”的意境之美；背诵名言警句，却难在真实情境中自然运用。当素养之光照进课堂，我豁然明白：语文教学的核心，不是让学生记住多少“鱼”，而是赋予他们感知、思考、创造和表达的“渔”之智慧。</w:t>
      </w:r>
    </w:p>
    <w:p w14:paraId="624F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文学习任务群，正是驶向素养之海的坚实航船。它不再以知识点罗列为导向，而是以生活情境为锚点，以复杂任务为驱动，将散落的珍珠串成华美的项链。一次“校园文化推广活动”任务设计，使我深受启发：学生需为校园古树撰写说明文字（语言建构与运用），采访老教师挖掘历史（文化传承），设计宣传海报（审美创造），并组织小型发布会阐释理念（思维发展与提升）。这一任务如枢纽般，将实用文写作、口语交际、文化探究等多维素养自然融合。学生在为真实对象写作时，字斟句酌的严谨态度，远超以往为分数而写的应付。</w:t>
      </w:r>
    </w:p>
    <w:p w14:paraId="2E4F1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任务群的实践探索中，我亦常遇挑战：如何设计出既契合素养目标又激发初中生兴趣的“真任务”？青春期的他们渴求表达、寻求认同，任务情境必须扎根于他们的生活经验和情感世界。例如，结合“文学阅读与创意表达”任务群，我们尝试“为班级年度纪念册创作主题诗文”的任务。学生热情高涨，从个人成长片段到同窗情谊抒写，从集体活动剪影到未来梦想展望，字里行间洋溢着真挚情感与创造活力。当任务具备真实意义，语文学习便自然焕发出蓬勃的生命力。</w:t>
      </w:r>
    </w:p>
    <w:p w14:paraId="6B65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“一课一得”的知识点教学，转向“任务驱动”的素养培育，教师角色也需华丽转身——我们不再是知识的唯一源头与权威评判者，而要化身学习情境的创设者、任务进程的引导者、思维碰撞的激发者。当学生在小组中为“如何更生动讲述社区故事”而热烈讨论，在创作剧本中为人物台词反复推敲时，我深刻体悟到：教师的价值在于点燃火种，而非注满容器；在于设计能承载思想远航的舟楫，而非仅仅传授捕鱼之术。</w:t>
      </w:r>
    </w:p>
    <w:p w14:paraId="5204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素养是指引学生精神成长的光明灯塔，任务群则是载着他们驶向语言深海与文化彼岸的智慧之舟。作为一名普通的语文教师，我愿继续以虔诚之心，探索任务设计之艺术，让每一次航行都指向素养的星辰大海，让语文学习真正成为学生生命拔节的力量源泉。</w:t>
      </w:r>
    </w:p>
    <w:p w14:paraId="4FA4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看着他们亲手策划的“唐诗宋词中的家国情怀”朗诵会，那些曾羞涩躲闪的眼神在舞台灯光下变得自信坚定——此情此景，正是核心素养在青春生命中悄然生长时最动人的回响。</w:t>
      </w:r>
    </w:p>
    <w:p w14:paraId="751F9F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AA90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4.核心素养下初中语文的课堂转向：聚焦思维</w:t>
      </w:r>
    </w:p>
    <w:p w14:paraId="1807A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——《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为思维而教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学习心得</w:t>
      </w:r>
    </w:p>
    <w:p w14:paraId="45DFF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杨帆</w:t>
      </w:r>
    </w:p>
    <w:p w14:paraId="460B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最近读了青岛中学汪正贵校长的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为思维而教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深刻认识到思维在学科教学中的核心作用。汪校长指出，教师要树立为思维而教的理念，进行课堂转向。我深受启发，结合初中语文教学实际，分享收获。</w:t>
      </w:r>
    </w:p>
    <w:p w14:paraId="0166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新课标明确提出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语文核心素养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，涵盖文化自信、语言运用、思维能力和审美创造四个关键方面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“思维发展与提升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被正式纳入核心素养范畴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这深刻彰显了思维培养在语文教学中的重要性。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在初中语文课堂中，提升思维教学不仅具备充分的必要性，也存在切实可行的实施路径。</w:t>
      </w:r>
    </w:p>
    <w:p w14:paraId="4CEE2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一、强化概念教学：注重理解性学习​</w:t>
      </w:r>
    </w:p>
    <w:p w14:paraId="4C2A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维的基础是概念。在初中语文课堂，许多老师认为学生在小学阶段就已经接触过文体、修辞手法等概念，在讲题中一笔带过。事实上正是因为学生对核心概念的理解不全面、不清晰，才影响了后续思考的展开。所以在课堂教学中，要舍得花时间讲清楚概念的内涵与外延，然后在概念的基础上，帮助学生理解建筑在概念之上的原理、主题。如学习《春》，要给出比喻、拟人的定义，再结合等课文中的语句，理解修辞手法如何增强语言表现力，为后续思维活动的开展奠定坚实基础。</w:t>
      </w:r>
    </w:p>
    <w:p w14:paraId="27E14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二、转变教学核心：从知识传授到思维培养​</w:t>
      </w:r>
    </w:p>
    <w:p w14:paraId="7C0A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识会遗忘，思维不会。知识教学是手段，目的是为了学生思维的发展；知识是思维训练的素材，而不是思维本身。所以在我们的课堂教学中，教学过程要从知识的全面覆盖，转向思维的深度揭示，从关注教授知识，转向关注学生的思维培养。以《济南的冬天》教学为例，教师可引导学生对比老舍与其他作家描写冬天的不同手法，让学生自主发现老舍笔下济南冬天“温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的独特之处，实现从教师主导的“教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向学生自主的“学”转变。</w:t>
      </w:r>
    </w:p>
    <w:p w14:paraId="44403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三、展现思维过程：让思维清晰可见​</w:t>
      </w:r>
    </w:p>
    <w:p w14:paraId="1033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语言建构与使用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本质上也是思维训练的过程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初中语文教学中，老师可以通过让学生读出来、写出来、说出来、画出来等方式，帮助学生清晰展现自己的思维过程。如在学习议论文时，鼓励学生用思维导图梳理论证逻辑，帮助学生建立新的认知结构。还可以让学生充当小老师，讲解自己将《寓言四则》中寓意的解读过程，培养元认知与学习策略。​</w:t>
      </w:r>
    </w:p>
    <w:p w14:paraId="420E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四、预留思考空间：给思维适当留白​</w:t>
      </w:r>
    </w:p>
    <w:p w14:paraId="3A2C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师要通过设计有思维含量的问题，来激发学生的深度思考，而不仅仅是让学生回答“是”与“不是”，“对”或“不对”这样的问题。也许提问后学生会有短暂沉默，其实是正是思考的需要。如教学《木兰诗》，提出“木兰替父从军的选择在当代社会是否依然有价值”等问题，给予学生充足的独立思考时间，按照学生独立思考、小组讨论、教师点拨总结的流程开展教学。。​</w:t>
      </w:r>
    </w:p>
    <w:p w14:paraId="67229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五、推动深度思维：实现深度学习​</w:t>
      </w:r>
    </w:p>
    <w:p w14:paraId="7CE08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课标强调的联想、分析、比较等认知能力，以及直觉思维、形象思维、逻辑思维等多种思维能力，还有思维的敏捷性、灵活性等思维品质，在语文教学中可以每次选一到两个着重训练。如学习《愚公移山》时，引导学生思考“愚公移山的做法是否还有其他更高效的解决方式”，培养学生在视角与归因、变化与联系、归纳与演绎等方面的思维能力。如果思维没有发生，学习也就没有发生；如果深度思维没有发生，深度学习也就不会发生。​</w:t>
      </w:r>
    </w:p>
    <w:p w14:paraId="76AB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“课堂转向”不是对传统初中语文课堂的彻底否定，而是一种升级与超越。从 “低效的知识堆砌”转向“高效的素养培育”，从“标准化的流水线生产”转向“个性化的生命成长”。其核心是让课堂真正成为“学生思维生长的地方”，为未来培养“会思考、能创造、有担当”的人。也许思维能力的培养短期内难见繁花满枝的显性成果，无法立竿见影提升考试分数。但为了真正实现“立德树人”的教育使命，这场艰辛却意义深远的探索，值得我们全力以赴。</w:t>
      </w:r>
    </w:p>
    <w:p w14:paraId="30900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D2A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9596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760E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A9B6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F59D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9EB9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F2AB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1CD4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B866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E56B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7193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立足素养·重构课堂</w:t>
      </w:r>
    </w:p>
    <w:p w14:paraId="22C1F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——陆志平《语文学习任务群：理解与设计》理论学习心得</w:t>
      </w:r>
    </w:p>
    <w:p w14:paraId="35A3F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满红艳</w:t>
      </w:r>
    </w:p>
    <w:p w14:paraId="78CF2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初中语文教学改革的深度参与者，我在参与优秀教师培育室研修期间，重点研读了语文新课标专家组核心成员陆志平先生的专著《语文学习任务群：理解与设计》。本书以系统性、前瞻性的视角解构了“学习任务群”这一课标核心理念，为初中语文教学从“知识传授”向“素养培育”转型提供了理论锚点与实践路径。现将学习心得总结如下：</w:t>
      </w:r>
    </w:p>
    <w:p w14:paraId="0A183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一、理论破壁：从“教课文”到“做任务”的本质跃迁  </w:t>
      </w:r>
    </w:p>
    <w:p w14:paraId="0C63D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陆志平先生开宗明义地指出，学习任务群是“以任务为导向，以学习项目为载体，整合学习情境、内容、方法和资源”的课程组织方式。这一界定彻底跳出了传统单篇教学的局限：  </w:t>
      </w:r>
    </w:p>
    <w:p w14:paraId="1AC90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重构课程逻辑：任务群以“语言实践活动”为主线，将静态知识转化为动态能力生长的载体；  </w:t>
      </w:r>
    </w:p>
    <w:p w14:paraId="1209E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强化整合思维：打破文体壁垒，在真实情境中实现阅读、写作、口语交际的深度融合；  </w:t>
      </w:r>
    </w:p>
    <w:p w14:paraId="253A0B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凸显学生本位：任务驱动使学生从“听众”变为“语言实践主体”，契合初中生认知发展需求。  </w:t>
      </w:r>
    </w:p>
    <w:p w14:paraId="58861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书中对“文学阅读与创意表达”“思辨性阅读与表达”等初中核心任务群的解析，让我深刻意识到：任务群教学的本质是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用语文做事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，而非学语文知识。</w:t>
      </w:r>
    </w:p>
    <w:p w14:paraId="68CAA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二、设计密钥：初中任务群落地的四大支柱  </w:t>
      </w:r>
    </w:p>
    <w:p w14:paraId="5855A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本书最具实践价值的部分在于揭示了任务群设计的底层逻辑，为初中教学提供可操作性框架：  </w:t>
      </w:r>
    </w:p>
    <w:p w14:paraId="3E682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情境真实化 </w:t>
      </w:r>
    </w:p>
    <w:p w14:paraId="7FD8A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陆志平强调“无情境不任务”。初中教学需创设贴近学生经验的社会文化情境（如“为校园公众号策划传统文化专栏”“模拟社区听证会陈述观点”），让语言运用获得真实意义。  </w:t>
      </w:r>
    </w:p>
    <w:p w14:paraId="768A7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任务结构化 </w:t>
      </w:r>
    </w:p>
    <w:p w14:paraId="10D96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书中提出“主任务—子任务—活动链”的三级设计模型。例如教学八年级新闻单元时，可设计核心任务“制作班级新闻周刊”，分解为“采访策划→信息整合→稿件撰写→版面设计”等子任务，形成能力进阶闭环。  </w:t>
      </w:r>
    </w:p>
    <w:p w14:paraId="152B9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资源整合化</w:t>
      </w:r>
    </w:p>
    <w:p w14:paraId="55635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任务群要求突破教材边界。书中“1+X”资源整合策略（如《苏州园林》关联园林纪录片、文化散文、建筑说明文）启示我们：初中教学应构建“课文为基点、多文本为脉络”的资源网络。  </w:t>
      </w:r>
    </w:p>
    <w:p w14:paraId="00141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评价过程化</w:t>
      </w:r>
    </w:p>
    <w:p w14:paraId="2CC53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针对初中生特点，书中提出“嵌入式评价”理念：将量规、学习单、反思日记等工具融入任务全程，实现“教—学—评”一体化，这与中考命题改革方向高度契合。  </w:t>
      </w:r>
    </w:p>
    <w:p w14:paraId="29AB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三、初中实践反思：从理解到创生的挑战  </w:t>
      </w:r>
    </w:p>
    <w:p w14:paraId="65B0E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本书的研读促使我对当前初中教学展开批判性思考：  </w:t>
      </w:r>
    </w:p>
    <w:p w14:paraId="3544B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警惕“伪任务”陷阱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部分课堂将“小组讨论”“制作手抄报”等简单活动等同于任务群。陆志平指出，真任务必须包含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目标语用功能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（如说服、解释、创作）、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认知挑战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社会交互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 xml:space="preserve">三重属性。  </w:t>
      </w:r>
    </w:p>
    <w:p w14:paraId="5D8A7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破解学段衔接难题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初中任务群需兼顾小初衔接与初高过渡。书中对第四学段（7-9年级）任务群的差异化设计（如思辨性阅读需从“现象分析”向“价值判断”进阶），为校本化实施指明路径。  </w:t>
      </w:r>
    </w:p>
    <w:p w14:paraId="5C8B8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教师角色转型之迫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 xml:space="preserve">“任务设计师”“资源开发者”“过程指导者”的新角色要求教师跳出“讲解者”舒适区。本书附录中的《家乡文化探寻》等初中案例，生动诠释了教师如何成为“语言实践活动的策划师”。  </w:t>
      </w:r>
    </w:p>
    <w:p w14:paraId="4908A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四、行动方向：构建初中语文任务群实践体系  </w:t>
      </w:r>
    </w:p>
    <w:p w14:paraId="6362C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基于本书启示，我将在教学中着力推进：  </w:t>
      </w:r>
    </w:p>
    <w:p w14:paraId="29AD5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 单元重组：以八年级上册“人伦之美”单元为试点，整合“亲情主题散文阅读”“家风访谈录”“家书写作”形成任务群；  </w:t>
      </w:r>
    </w:p>
    <w:p w14:paraId="23E22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跨科融通：联合历史、艺术学科开发“非遗文化传播”跨学科任务群；  </w:t>
      </w:r>
    </w:p>
    <w:p w14:paraId="6B76F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 评价改革：设计“任务完成度”“合作效能”“语言表现力”三维评价量规，强化过程性证据收集。  </w:t>
      </w:r>
    </w:p>
    <w:p w14:paraId="19343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陆志平先生的著作如一座桥梁，连接了课标理念与课堂实践。它使我深刻认识到：任务群不仅是教学形式的变革，更是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语文教育哲学的重构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——从“教语文”走向“用语文育人”。作为初中语文教师，我们当以任务群为舟，载学生驶向语言运用、思维发展与文化传承的深远之境。唯有深度理解其设计逻辑，方能在变革浪潮中成为真正的领航者。</w:t>
      </w:r>
    </w:p>
    <w:p w14:paraId="0C1B9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4B2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2B7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F64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核心素养与学习任务群：语文教学转型的坐标与航程</w:t>
      </w:r>
    </w:p>
    <w:p w14:paraId="7BFD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陈嘉贤</w:t>
      </w:r>
    </w:p>
    <w:p w14:paraId="46FD5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语文教学理论的新探索中，“核心素养”与“学习任务群”如两颗璀璨星辰，照亮了初中语文课堂转型的航路。深研其理后，我渐悟这二者并非孤悬天际的亮星，而是彼此辉映、互为经纬的导航系统——它们共同构建了语文教育新境界的坐标系。</w:t>
      </w:r>
    </w:p>
    <w:p w14:paraId="5B05A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素养体系作为语文教育的终极旨归，为“学习任务群”的展开提供了方向与灵魂。语文核心素养的四大维度——文化自信、语言运用、思维能力、审美创造——并非知识点的简单堆砌，而是融合贯通、相互支撑的生命能力整体。例如，在讲授《苏州园林》一文时，我尝试设计一个任务：让学生扮演文化解说员，在课堂中介绍苏州园林的独特之处。学生不仅需精研文本、提取关键信息（语言运用），更需理解其承载的江南文化精神（文化自信），并以清晰逻辑与生动语言表达（思维能力与审美创造）。素养目标在此超越了传统“理解说明方法”的单一要求，驱动学生于任务实践中实现能力的深度生长。</w:t>
      </w:r>
    </w:p>
    <w:p w14:paraId="368F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而学习任务群作为新课标提出的崭新课程内容组织形式，则是实现核心素养落地的核心路径与具体载体。其打破了传统教学按文体或知识线性推进的窠臼，代之以真实情境下整合性的语言实践活动。如“文学阅读与创意表达”任务群，若围绕“家国情怀”主题，则可串联《木兰诗》《土地的誓言》《谁是最可爱的人》等跨越古今的文本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学生不再被动接受碎片分析，而是置身于真实情境：以“致新时代最可爱的人”为任务，融合阅读、写作、朗诵、交流等多项实践。如此设计，让语文学习从纸面走向生活，从被动接纳转向主动建构，素养如种子于实践的沃土中自然萌发。</w:t>
      </w:r>
    </w:p>
    <w:p w14:paraId="657B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真正的教学智慧在于将核心素养与学习任务群有机融合，使其成为课堂中流动的生命。具体而言：</w:t>
      </w:r>
    </w:p>
    <w:p w14:paraId="36E04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以素养目标为纲设计任务：每项任务都需直指具体的素养维度，目标清晰方能有的放矢；</w:t>
      </w:r>
    </w:p>
    <w:p w14:paraId="6817A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创设真实而有意义的情境：如新闻单元教学可设计“校园环保主题报道策划会”，将“实用性阅读与交流”任务群置于真实语境；</w:t>
      </w:r>
    </w:p>
    <w:p w14:paraId="0CAF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强调深度探究与协作：如跨学科任务“为社区设计古诗文宣传栏”，需融合历史考证与艺术设计；</w:t>
      </w:r>
    </w:p>
    <w:p w14:paraId="1F8F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重视过程性评价：以“成长档案袋”记录学生在任务中的思维轨迹、合作贡献与创意成果，评价本身成为促进素养生长的阶梯。</w:t>
      </w:r>
    </w:p>
    <w:p w14:paraId="38BB8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教学理念的深刻转变中，教师角色亦在悄然重塑：我们从知识的搬运工转变为学习情境的设计师与素养生长的促进者。记得一次《骆驼祥子》主题教学，我引导学生围绕“祥子的梦想为何幻灭”展开深度思辨。学生需要超越情节复述，探究时代洪流与个人奋斗的复杂关系（思维能力、文化自信）。当课堂中学生自发将祥子的命运与当下青年奋斗议题相连，那份源于深度理解与真实关怀的讨论，让我看见素养之光在任务实践中闪耀。</w:t>
      </w:r>
    </w:p>
    <w:p w14:paraId="5DB9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素养与学习任务群的深度交融，为语文教学描绘了清晰而辽阔的远景。它们要求我们敢于打破旧有藩篱，以素养为魂，以任务为体，设计出整合、实践、深度的学习体验。当语文课堂成为学生运用语言、探索文化、发展思维、涵育审美的生命场域，我们便是在用今天的耕耘，为未来培育根深叶茂、向光而生的栋梁之材。这航程虽非坦途，但坐标已明，灯塔已亮，语文教育的新大陆正在前方召唤。</w:t>
      </w:r>
    </w:p>
    <w:p w14:paraId="25134E20">
      <w:pPr>
        <w:rPr>
          <w:rFonts w:hint="eastAsia"/>
          <w:lang w:eastAsia="zh-CN"/>
        </w:rPr>
      </w:pPr>
    </w:p>
    <w:p w14:paraId="619632A8">
      <w:pPr>
        <w:rPr>
          <w:rFonts w:hint="eastAsia"/>
          <w:lang w:eastAsia="zh-CN"/>
        </w:rPr>
      </w:pPr>
    </w:p>
    <w:p w14:paraId="63C48574">
      <w:pPr>
        <w:rPr>
          <w:rFonts w:hint="eastAsia"/>
          <w:lang w:eastAsia="zh-CN"/>
        </w:rPr>
      </w:pPr>
    </w:p>
    <w:p w14:paraId="1B92EC67">
      <w:pPr>
        <w:rPr>
          <w:rFonts w:hint="eastAsia"/>
          <w:lang w:eastAsia="zh-CN"/>
        </w:rPr>
      </w:pPr>
    </w:p>
    <w:p w14:paraId="04DF84A2">
      <w:pPr>
        <w:rPr>
          <w:rFonts w:hint="eastAsia"/>
          <w:lang w:eastAsia="zh-CN"/>
        </w:rPr>
      </w:pPr>
    </w:p>
    <w:p w14:paraId="02AE150E">
      <w:pPr>
        <w:rPr>
          <w:rFonts w:hint="eastAsia"/>
          <w:lang w:eastAsia="zh-CN"/>
        </w:rPr>
      </w:pPr>
    </w:p>
    <w:p w14:paraId="2767E85B">
      <w:pPr>
        <w:rPr>
          <w:rFonts w:hint="eastAsia"/>
          <w:lang w:eastAsia="zh-CN"/>
        </w:rPr>
      </w:pPr>
    </w:p>
    <w:p w14:paraId="61D030F8">
      <w:pPr>
        <w:rPr>
          <w:rFonts w:hint="eastAsia"/>
          <w:lang w:eastAsia="zh-CN"/>
        </w:rPr>
      </w:pPr>
    </w:p>
    <w:p w14:paraId="5F1B2FCF">
      <w:pPr>
        <w:rPr>
          <w:rFonts w:hint="eastAsia"/>
          <w:lang w:eastAsia="zh-CN"/>
        </w:rPr>
      </w:pPr>
    </w:p>
    <w:p w14:paraId="4E02E841">
      <w:pPr>
        <w:rPr>
          <w:rFonts w:hint="eastAsia"/>
          <w:lang w:eastAsia="zh-CN"/>
        </w:rPr>
      </w:pPr>
    </w:p>
    <w:p w14:paraId="202E2831">
      <w:pPr>
        <w:rPr>
          <w:rFonts w:hint="eastAsia"/>
          <w:lang w:eastAsia="zh-CN"/>
        </w:rPr>
      </w:pPr>
    </w:p>
    <w:p w14:paraId="74400AD2">
      <w:pPr>
        <w:rPr>
          <w:rFonts w:hint="eastAsia"/>
          <w:lang w:eastAsia="zh-CN"/>
        </w:rPr>
      </w:pPr>
    </w:p>
    <w:p w14:paraId="1F29F94E">
      <w:pPr>
        <w:rPr>
          <w:rFonts w:hint="eastAsia"/>
          <w:lang w:eastAsia="zh-CN"/>
        </w:rPr>
      </w:pPr>
    </w:p>
    <w:p w14:paraId="054D1159">
      <w:pPr>
        <w:rPr>
          <w:rFonts w:hint="eastAsia"/>
          <w:lang w:eastAsia="zh-CN"/>
        </w:rPr>
      </w:pPr>
    </w:p>
    <w:p w14:paraId="1F119CC2">
      <w:pPr>
        <w:rPr>
          <w:rFonts w:hint="eastAsia"/>
          <w:lang w:eastAsia="zh-CN"/>
        </w:rPr>
      </w:pPr>
    </w:p>
    <w:p w14:paraId="202309D4">
      <w:pPr>
        <w:rPr>
          <w:rFonts w:hint="eastAsia"/>
          <w:lang w:eastAsia="zh-CN"/>
        </w:rPr>
      </w:pPr>
    </w:p>
    <w:p w14:paraId="3F2949DB">
      <w:pPr>
        <w:rPr>
          <w:rFonts w:hint="eastAsia"/>
          <w:lang w:eastAsia="zh-CN"/>
        </w:rPr>
      </w:pPr>
    </w:p>
    <w:p w14:paraId="065F327D">
      <w:pPr>
        <w:rPr>
          <w:rFonts w:hint="eastAsia"/>
          <w:lang w:eastAsia="zh-CN"/>
        </w:rPr>
      </w:pPr>
    </w:p>
    <w:p w14:paraId="3AC398DC">
      <w:pPr>
        <w:rPr>
          <w:rFonts w:hint="eastAsia"/>
          <w:lang w:eastAsia="zh-CN"/>
        </w:rPr>
      </w:pPr>
    </w:p>
    <w:p w14:paraId="26639208">
      <w:pPr>
        <w:rPr>
          <w:rFonts w:hint="eastAsia"/>
          <w:lang w:eastAsia="zh-CN"/>
        </w:rPr>
      </w:pPr>
    </w:p>
    <w:p w14:paraId="7B9EE7B6">
      <w:pPr>
        <w:rPr>
          <w:rFonts w:hint="eastAsia"/>
          <w:lang w:eastAsia="zh-CN"/>
        </w:rPr>
      </w:pPr>
    </w:p>
    <w:p w14:paraId="5BD04DEC">
      <w:pPr>
        <w:rPr>
          <w:rFonts w:hint="eastAsia"/>
          <w:lang w:eastAsia="zh-CN"/>
        </w:rPr>
      </w:pPr>
    </w:p>
    <w:p w14:paraId="71B825DE">
      <w:pPr>
        <w:rPr>
          <w:rFonts w:hint="eastAsia"/>
          <w:lang w:eastAsia="zh-CN"/>
        </w:rPr>
      </w:pPr>
    </w:p>
    <w:p w14:paraId="57A62E38">
      <w:pPr>
        <w:rPr>
          <w:rFonts w:hint="eastAsia"/>
          <w:lang w:eastAsia="zh-CN"/>
        </w:rPr>
      </w:pPr>
    </w:p>
    <w:p w14:paraId="1B4DF77E">
      <w:pPr>
        <w:rPr>
          <w:rFonts w:hint="eastAsia"/>
          <w:lang w:eastAsia="zh-CN"/>
        </w:rPr>
      </w:pPr>
    </w:p>
    <w:p w14:paraId="7258BA55">
      <w:pPr>
        <w:rPr>
          <w:rFonts w:hint="eastAsia"/>
          <w:lang w:eastAsia="zh-CN"/>
        </w:rPr>
      </w:pPr>
    </w:p>
    <w:p w14:paraId="13E880CA">
      <w:pPr>
        <w:rPr>
          <w:rFonts w:hint="eastAsia"/>
          <w:lang w:eastAsia="zh-CN"/>
        </w:rPr>
      </w:pPr>
    </w:p>
    <w:p w14:paraId="54A55996">
      <w:pPr>
        <w:rPr>
          <w:rFonts w:hint="eastAsia"/>
          <w:lang w:eastAsia="zh-CN"/>
        </w:rPr>
      </w:pPr>
    </w:p>
    <w:p w14:paraId="451D5D05">
      <w:pPr>
        <w:rPr>
          <w:rFonts w:hint="eastAsia"/>
          <w:lang w:eastAsia="zh-CN"/>
        </w:rPr>
      </w:pPr>
    </w:p>
    <w:p w14:paraId="5B7FDC21">
      <w:pPr>
        <w:rPr>
          <w:rFonts w:hint="eastAsia"/>
          <w:lang w:eastAsia="zh-CN"/>
        </w:rPr>
      </w:pPr>
    </w:p>
    <w:p w14:paraId="1FC178D5">
      <w:pPr>
        <w:rPr>
          <w:rFonts w:hint="eastAsia"/>
          <w:lang w:eastAsia="zh-CN"/>
        </w:rPr>
      </w:pPr>
    </w:p>
    <w:p w14:paraId="25D563D6">
      <w:pPr>
        <w:rPr>
          <w:rFonts w:hint="eastAsia"/>
          <w:lang w:eastAsia="zh-CN"/>
        </w:rPr>
      </w:pPr>
    </w:p>
    <w:p w14:paraId="2F4F7B53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DAC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173B2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173B2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226F"/>
    <w:rsid w:val="0CC442CF"/>
    <w:rsid w:val="11CF71E1"/>
    <w:rsid w:val="1A8011C2"/>
    <w:rsid w:val="1E826C5B"/>
    <w:rsid w:val="2B9A1CBE"/>
    <w:rsid w:val="5B9C6F02"/>
    <w:rsid w:val="5FDE21DF"/>
    <w:rsid w:val="64033FC2"/>
    <w:rsid w:val="7C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1185</Words>
  <Characters>1381</Characters>
  <Lines>0</Lines>
  <Paragraphs>0</Paragraphs>
  <TotalTime>32</TotalTime>
  <ScaleCrop>false</ScaleCrop>
  <LinksUpToDate>false</LinksUpToDate>
  <CharactersWithSpaces>1395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2025-06-24T05:23:00Z</dcterms:created>
  <dc:creator>LENOVO</dc:creator>
  <cp:lastModifiedBy>LENOVO</cp:lastModifiedBy>
  <dcterms:modified xsi:type="dcterms:W3CDTF">2025-06-29T09:02:04Z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5F90E42CCD01445BAE1AA884C3A2935E_13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