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tbl>
      <w:tblPr>
        <w:tblStyle w:val="5"/>
        <w:tblpPr w:leftFromText="180" w:rightFromText="180" w:vertAnchor="page" w:horzAnchor="margin" w:tblpY="390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6948"/>
        <w:gridCol w:w="1418"/>
        <w:gridCol w:w="1984"/>
        <w:gridCol w:w="1134"/>
        <w:gridCol w:w="1247"/>
      </w:tblGrid>
      <w:tr w14:paraId="7F5FC1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66660E8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0D48926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6948" w:type="dxa"/>
          </w:tcPr>
          <w:p w14:paraId="38D1242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418" w:type="dxa"/>
          </w:tcPr>
          <w:p w14:paraId="104592C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获奖时间</w:t>
            </w:r>
          </w:p>
        </w:tc>
        <w:tc>
          <w:tcPr>
            <w:tcW w:w="1984" w:type="dxa"/>
          </w:tcPr>
          <w:p w14:paraId="1E841A2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评审（组织）单位</w:t>
            </w:r>
          </w:p>
        </w:tc>
        <w:tc>
          <w:tcPr>
            <w:tcW w:w="1134" w:type="dxa"/>
          </w:tcPr>
          <w:p w14:paraId="77554BB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  <w:tc>
          <w:tcPr>
            <w:tcW w:w="1247" w:type="dxa"/>
          </w:tcPr>
          <w:p w14:paraId="4165CCF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获奖等第</w:t>
            </w:r>
          </w:p>
        </w:tc>
      </w:tr>
      <w:tr w14:paraId="5EF102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5A27F91"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1D466D13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张璐妍</w:t>
            </w:r>
          </w:p>
        </w:tc>
        <w:tc>
          <w:tcPr>
            <w:tcW w:w="6948" w:type="dxa"/>
            <w:vAlign w:val="center"/>
          </w:tcPr>
          <w:p w14:paraId="4E671927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小学数学与科学学科融合的实践思考</w:t>
            </w:r>
          </w:p>
        </w:tc>
        <w:tc>
          <w:tcPr>
            <w:tcW w:w="1418" w:type="dxa"/>
          </w:tcPr>
          <w:p w14:paraId="610B553D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2024.11</w:t>
            </w:r>
          </w:p>
        </w:tc>
        <w:tc>
          <w:tcPr>
            <w:tcW w:w="1984" w:type="dxa"/>
          </w:tcPr>
          <w:p w14:paraId="5F7BC48B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江苏省青少年科技教育协会</w:t>
            </w:r>
          </w:p>
        </w:tc>
        <w:tc>
          <w:tcPr>
            <w:tcW w:w="1134" w:type="dxa"/>
          </w:tcPr>
          <w:p w14:paraId="00BA8EE7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省级</w:t>
            </w:r>
          </w:p>
        </w:tc>
        <w:tc>
          <w:tcPr>
            <w:tcW w:w="1247" w:type="dxa"/>
          </w:tcPr>
          <w:p w14:paraId="19A38E67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三等奖</w:t>
            </w:r>
          </w:p>
        </w:tc>
      </w:tr>
      <w:tr w14:paraId="695403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 w14:paraId="3E355F75"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 w14:paraId="6ABBB64F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乔茜</w:t>
            </w:r>
          </w:p>
        </w:tc>
        <w:tc>
          <w:tcPr>
            <w:tcW w:w="6948" w:type="dxa"/>
            <w:vAlign w:val="center"/>
          </w:tcPr>
          <w:p w14:paraId="5BA99454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《核心素养导向下小学科学项目化学习实践研究》</w:t>
            </w:r>
          </w:p>
        </w:tc>
        <w:tc>
          <w:tcPr>
            <w:tcW w:w="1418" w:type="dxa"/>
          </w:tcPr>
          <w:p w14:paraId="6B8913DC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2024.11</w:t>
            </w:r>
          </w:p>
        </w:tc>
        <w:tc>
          <w:tcPr>
            <w:tcW w:w="1984" w:type="dxa"/>
          </w:tcPr>
          <w:p w14:paraId="6B839CA4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江苏省青少年科技教育协会</w:t>
            </w:r>
          </w:p>
        </w:tc>
        <w:tc>
          <w:tcPr>
            <w:tcW w:w="1134" w:type="dxa"/>
          </w:tcPr>
          <w:p w14:paraId="0AD99F10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省级</w:t>
            </w:r>
          </w:p>
        </w:tc>
        <w:tc>
          <w:tcPr>
            <w:tcW w:w="1247" w:type="dxa"/>
          </w:tcPr>
          <w:p w14:paraId="53E2F0F6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三等奖</w:t>
            </w:r>
          </w:p>
        </w:tc>
      </w:tr>
      <w:tr w14:paraId="128D3D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 w14:paraId="69489438"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 w14:paraId="17C63212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李羚</w:t>
            </w:r>
          </w:p>
        </w:tc>
        <w:tc>
          <w:tcPr>
            <w:tcW w:w="6948" w:type="dxa"/>
            <w:vAlign w:val="center"/>
          </w:tcPr>
          <w:p w14:paraId="26DE6FBC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《小学科学与数学融合教学的实践与探索》</w:t>
            </w:r>
          </w:p>
        </w:tc>
        <w:tc>
          <w:tcPr>
            <w:tcW w:w="1418" w:type="dxa"/>
          </w:tcPr>
          <w:p w14:paraId="4070E4E7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2024.11</w:t>
            </w:r>
          </w:p>
        </w:tc>
        <w:tc>
          <w:tcPr>
            <w:tcW w:w="1984" w:type="dxa"/>
          </w:tcPr>
          <w:p w14:paraId="4C68665B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江苏省青少年科技教育协会</w:t>
            </w:r>
          </w:p>
        </w:tc>
        <w:tc>
          <w:tcPr>
            <w:tcW w:w="1134" w:type="dxa"/>
          </w:tcPr>
          <w:p w14:paraId="2D8D87AA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省级</w:t>
            </w:r>
          </w:p>
        </w:tc>
        <w:tc>
          <w:tcPr>
            <w:tcW w:w="1247" w:type="dxa"/>
          </w:tcPr>
          <w:p w14:paraId="1B21A4B1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三等奖</w:t>
            </w:r>
          </w:p>
        </w:tc>
      </w:tr>
      <w:tr w14:paraId="1603E9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 w14:paraId="367F96D9">
            <w:r>
              <w:rPr>
                <w:rFonts w:hint="eastAsia"/>
              </w:rPr>
              <w:t>4</w:t>
            </w:r>
          </w:p>
        </w:tc>
        <w:tc>
          <w:tcPr>
            <w:tcW w:w="877" w:type="dxa"/>
            <w:vAlign w:val="center"/>
          </w:tcPr>
          <w:p w14:paraId="28BEB5E7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骆晓倩</w:t>
            </w:r>
          </w:p>
        </w:tc>
        <w:tc>
          <w:tcPr>
            <w:tcW w:w="6948" w:type="dxa"/>
            <w:vAlign w:val="center"/>
          </w:tcPr>
          <w:p w14:paraId="6E925F99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《</w:t>
            </w: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科学+数学：跨学科教育模式的实践路径探索</w:t>
            </w:r>
            <w:r>
              <w:rPr>
                <w:rFonts w:hint="eastAsia" w:ascii="宋体" w:hAnsi="宋体" w:eastAsia="宋体" w:cs="宋体"/>
                <w:i w:val="0"/>
                <w:strike w:val="0"/>
                <w:spacing w:val="0"/>
                <w:u w:val="none"/>
              </w:rPr>
              <w:t>》</w:t>
            </w:r>
          </w:p>
        </w:tc>
        <w:tc>
          <w:tcPr>
            <w:tcW w:w="1418" w:type="dxa"/>
          </w:tcPr>
          <w:p w14:paraId="0412372B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2024.11</w:t>
            </w:r>
          </w:p>
        </w:tc>
        <w:tc>
          <w:tcPr>
            <w:tcW w:w="1984" w:type="dxa"/>
          </w:tcPr>
          <w:p w14:paraId="5FC7A879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江苏省青少年科技教育协会</w:t>
            </w:r>
          </w:p>
        </w:tc>
        <w:tc>
          <w:tcPr>
            <w:tcW w:w="1134" w:type="dxa"/>
          </w:tcPr>
          <w:p w14:paraId="622CED54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省级</w:t>
            </w:r>
          </w:p>
        </w:tc>
        <w:tc>
          <w:tcPr>
            <w:tcW w:w="1247" w:type="dxa"/>
          </w:tcPr>
          <w:p w14:paraId="6B909A55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三等奖</w:t>
            </w:r>
          </w:p>
        </w:tc>
      </w:tr>
      <w:tr w14:paraId="158E2B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 w14:paraId="00220D4A">
            <w:r>
              <w:rPr>
                <w:rFonts w:hint="eastAsia"/>
              </w:rPr>
              <w:t>5</w:t>
            </w:r>
          </w:p>
        </w:tc>
        <w:tc>
          <w:tcPr>
            <w:tcW w:w="877" w:type="dxa"/>
            <w:vAlign w:val="center"/>
          </w:tcPr>
          <w:p w14:paraId="3823819B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周敏</w:t>
            </w:r>
          </w:p>
        </w:tc>
        <w:tc>
          <w:tcPr>
            <w:tcW w:w="6948" w:type="dxa"/>
            <w:vAlign w:val="center"/>
          </w:tcPr>
          <w:p w14:paraId="04C48C9E">
            <w:pPr>
              <w:rPr>
                <w:szCs w:val="21"/>
              </w:rPr>
            </w:pPr>
            <w:r>
              <w:rPr>
                <w:szCs w:val="21"/>
              </w:rPr>
              <w:t>《跨界融通 发展素养》</w:t>
            </w:r>
          </w:p>
        </w:tc>
        <w:tc>
          <w:tcPr>
            <w:tcW w:w="1418" w:type="dxa"/>
          </w:tcPr>
          <w:p w14:paraId="0D541D0C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2024.11</w:t>
            </w:r>
          </w:p>
        </w:tc>
        <w:tc>
          <w:tcPr>
            <w:tcW w:w="1984" w:type="dxa"/>
          </w:tcPr>
          <w:p w14:paraId="731365EA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江苏省青少年科技教育协会</w:t>
            </w:r>
          </w:p>
        </w:tc>
        <w:tc>
          <w:tcPr>
            <w:tcW w:w="1134" w:type="dxa"/>
          </w:tcPr>
          <w:p w14:paraId="2AE7EC98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省级</w:t>
            </w:r>
          </w:p>
        </w:tc>
        <w:tc>
          <w:tcPr>
            <w:tcW w:w="1247" w:type="dxa"/>
          </w:tcPr>
          <w:p w14:paraId="2E5059A3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二等奖</w:t>
            </w:r>
          </w:p>
        </w:tc>
      </w:tr>
      <w:tr w14:paraId="510AC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 w14:paraId="010B6D87">
            <w:r>
              <w:rPr>
                <w:rFonts w:hint="eastAsia"/>
              </w:rPr>
              <w:t>6</w:t>
            </w:r>
          </w:p>
        </w:tc>
        <w:tc>
          <w:tcPr>
            <w:tcW w:w="877" w:type="dxa"/>
            <w:vAlign w:val="center"/>
          </w:tcPr>
          <w:p w14:paraId="21873628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潘青</w:t>
            </w:r>
          </w:p>
        </w:tc>
        <w:tc>
          <w:tcPr>
            <w:tcW w:w="6948" w:type="dxa"/>
            <w:vAlign w:val="center"/>
          </w:tcPr>
          <w:p w14:paraId="3254129D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《综合实践与科技教育相结合的实践与探索》</w:t>
            </w:r>
          </w:p>
        </w:tc>
        <w:tc>
          <w:tcPr>
            <w:tcW w:w="1418" w:type="dxa"/>
          </w:tcPr>
          <w:p w14:paraId="16562164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2024.11</w:t>
            </w:r>
          </w:p>
        </w:tc>
        <w:tc>
          <w:tcPr>
            <w:tcW w:w="1984" w:type="dxa"/>
          </w:tcPr>
          <w:p w14:paraId="034738EB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江苏省青少年科技教育协会</w:t>
            </w:r>
          </w:p>
        </w:tc>
        <w:tc>
          <w:tcPr>
            <w:tcW w:w="1134" w:type="dxa"/>
          </w:tcPr>
          <w:p w14:paraId="3F13F602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省级</w:t>
            </w:r>
          </w:p>
        </w:tc>
        <w:tc>
          <w:tcPr>
            <w:tcW w:w="1247" w:type="dxa"/>
          </w:tcPr>
          <w:p w14:paraId="34735F8D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二等奖</w:t>
            </w:r>
          </w:p>
        </w:tc>
      </w:tr>
      <w:tr w14:paraId="159DB6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 w14:paraId="3EF6307B">
            <w:r>
              <w:rPr>
                <w:rFonts w:hint="eastAsia"/>
              </w:rPr>
              <w:t>7</w:t>
            </w:r>
          </w:p>
        </w:tc>
        <w:tc>
          <w:tcPr>
            <w:tcW w:w="877" w:type="dxa"/>
            <w:vAlign w:val="center"/>
          </w:tcPr>
          <w:p w14:paraId="750E74EF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刘红</w:t>
            </w:r>
          </w:p>
        </w:tc>
        <w:tc>
          <w:tcPr>
            <w:tcW w:w="6948" w:type="dxa"/>
            <w:vAlign w:val="center"/>
          </w:tcPr>
          <w:p w14:paraId="1241AAAB">
            <w:pPr>
              <w:pBdr>
                <w:bottom w:val="none" w:color="auto" w:sz="0" w:space="0"/>
              </w:pBdr>
              <w:snapToGrid/>
              <w:spacing w:before="0" w:after="0" w:line="240" w:lineRule="auto"/>
              <w:ind w:left="0" w:right="0"/>
              <w:jc w:val="both"/>
              <w:rPr>
                <w:sz w:val="19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2"/>
                <w:u w:val="none"/>
              </w:rPr>
              <w:t>《基于PBL教学，培养学生创新精神》</w:t>
            </w:r>
          </w:p>
        </w:tc>
        <w:tc>
          <w:tcPr>
            <w:tcW w:w="1418" w:type="dxa"/>
          </w:tcPr>
          <w:p w14:paraId="03B7CBDB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2024.11</w:t>
            </w:r>
          </w:p>
        </w:tc>
        <w:tc>
          <w:tcPr>
            <w:tcW w:w="1984" w:type="dxa"/>
          </w:tcPr>
          <w:p w14:paraId="291D642B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江苏省青少年科技教育协会</w:t>
            </w:r>
          </w:p>
        </w:tc>
        <w:tc>
          <w:tcPr>
            <w:tcW w:w="1134" w:type="dxa"/>
          </w:tcPr>
          <w:p w14:paraId="18F81149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省级</w:t>
            </w:r>
          </w:p>
        </w:tc>
        <w:tc>
          <w:tcPr>
            <w:tcW w:w="1247" w:type="dxa"/>
          </w:tcPr>
          <w:p w14:paraId="18896A11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三等奖</w:t>
            </w:r>
          </w:p>
        </w:tc>
      </w:tr>
      <w:tr w14:paraId="28255C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 w14:paraId="449F457F">
            <w:r>
              <w:rPr>
                <w:rFonts w:hint="eastAsia"/>
              </w:rPr>
              <w:t>8</w:t>
            </w:r>
          </w:p>
        </w:tc>
        <w:tc>
          <w:tcPr>
            <w:tcW w:w="877" w:type="dxa"/>
            <w:vAlign w:val="center"/>
          </w:tcPr>
          <w:p w14:paraId="0E8ED6F0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戴莉</w:t>
            </w:r>
          </w:p>
        </w:tc>
        <w:tc>
          <w:tcPr>
            <w:tcW w:w="6948" w:type="dxa"/>
            <w:vAlign w:val="center"/>
          </w:tcPr>
          <w:p w14:paraId="349D832C">
            <w:pPr>
              <w:pBdr>
                <w:bottom w:val="none" w:color="auto" w:sz="0" w:space="0"/>
              </w:pBdr>
              <w:snapToGrid/>
              <w:spacing w:before="0" w:after="0" w:line="240" w:lineRule="auto"/>
              <w:ind w:left="0" w:right="0"/>
              <w:jc w:val="both"/>
              <w:rPr>
                <w:sz w:val="19"/>
              </w:rPr>
            </w:pPr>
            <w:r>
              <w:rPr>
                <w:rFonts w:hint="eastAsia"/>
                <w:sz w:val="19"/>
              </w:rPr>
              <w:t>《将科学元素融入小学数学教学的创新实践探索》</w:t>
            </w:r>
          </w:p>
        </w:tc>
        <w:tc>
          <w:tcPr>
            <w:tcW w:w="1418" w:type="dxa"/>
          </w:tcPr>
          <w:p w14:paraId="73D38A2F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2024.11</w:t>
            </w:r>
          </w:p>
        </w:tc>
        <w:tc>
          <w:tcPr>
            <w:tcW w:w="1984" w:type="dxa"/>
          </w:tcPr>
          <w:p w14:paraId="5A969810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江苏省青少年科技教育协会</w:t>
            </w:r>
          </w:p>
        </w:tc>
        <w:tc>
          <w:tcPr>
            <w:tcW w:w="1134" w:type="dxa"/>
          </w:tcPr>
          <w:p w14:paraId="7AF56F03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省级</w:t>
            </w:r>
          </w:p>
        </w:tc>
        <w:tc>
          <w:tcPr>
            <w:tcW w:w="1247" w:type="dxa"/>
          </w:tcPr>
          <w:p w14:paraId="1CFBC131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三等奖</w:t>
            </w:r>
          </w:p>
        </w:tc>
      </w:tr>
      <w:tr w14:paraId="20ADDC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 w14:paraId="4A8A4BA7">
            <w:r>
              <w:rPr>
                <w:rFonts w:hint="eastAsia"/>
              </w:rPr>
              <w:t>9</w:t>
            </w:r>
          </w:p>
        </w:tc>
        <w:tc>
          <w:tcPr>
            <w:tcW w:w="877" w:type="dxa"/>
            <w:vAlign w:val="center"/>
          </w:tcPr>
          <w:p w14:paraId="4B1EE60A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陈烨</w:t>
            </w:r>
          </w:p>
        </w:tc>
        <w:tc>
          <w:tcPr>
            <w:tcW w:w="6948" w:type="dxa"/>
            <w:vAlign w:val="center"/>
          </w:tcPr>
          <w:p w14:paraId="3186F754">
            <w:pPr>
              <w:pBdr>
                <w:bottom w:val="none" w:color="auto" w:sz="0" w:space="0"/>
              </w:pBdr>
              <w:snapToGrid/>
              <w:spacing w:before="0" w:after="0" w:line="240" w:lineRule="auto"/>
              <w:ind w:left="0" w:right="0"/>
              <w:jc w:val="both"/>
              <w:rPr>
                <w:sz w:val="19"/>
              </w:rPr>
            </w:pPr>
            <w:r>
              <w:rPr>
                <w:rFonts w:hint="eastAsia" w:ascii="楷体" w:hAnsi="楷体" w:eastAsia="楷体" w:cs="楷体"/>
                <w:i w:val="0"/>
                <w:strike w:val="0"/>
                <w:color w:val="000000"/>
                <w:spacing w:val="0"/>
                <w:sz w:val="24"/>
                <w:u w:val="none"/>
              </w:rPr>
              <w:t>《</w:t>
            </w:r>
            <w:r>
              <w:rPr>
                <w:rFonts w:ascii="楷体" w:hAnsi="楷体" w:eastAsia="楷体" w:cs="楷体"/>
                <w:i w:val="0"/>
                <w:strike w:val="0"/>
                <w:color w:val="000000"/>
                <w:spacing w:val="0"/>
                <w:sz w:val="24"/>
                <w:u w:val="none"/>
              </w:rPr>
              <w:t>推进小学科学研究型学习 培养学生的创新精神</w:t>
            </w:r>
            <w:r>
              <w:rPr>
                <w:rFonts w:hint="eastAsia" w:ascii="楷体" w:hAnsi="楷体" w:eastAsia="楷体" w:cs="楷体"/>
                <w:i w:val="0"/>
                <w:strike w:val="0"/>
                <w:color w:val="000000"/>
                <w:spacing w:val="0"/>
                <w:sz w:val="24"/>
                <w:u w:val="none"/>
              </w:rPr>
              <w:t>》</w:t>
            </w:r>
          </w:p>
        </w:tc>
        <w:tc>
          <w:tcPr>
            <w:tcW w:w="1418" w:type="dxa"/>
          </w:tcPr>
          <w:p w14:paraId="69C8FD15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vertAlign w:val="baseline"/>
              </w:rPr>
              <w:t>2024.11.27</w:t>
            </w:r>
          </w:p>
        </w:tc>
        <w:tc>
          <w:tcPr>
            <w:tcW w:w="1984" w:type="dxa"/>
          </w:tcPr>
          <w:p w14:paraId="3D05CF17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vertAlign w:val="baseline"/>
              </w:rPr>
              <w:t>江苏省青少年科技教育协会</w:t>
            </w:r>
          </w:p>
        </w:tc>
        <w:tc>
          <w:tcPr>
            <w:tcW w:w="1134" w:type="dxa"/>
          </w:tcPr>
          <w:p w14:paraId="46D55C92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vertAlign w:val="baseline"/>
              </w:rPr>
              <w:t>省级</w:t>
            </w:r>
          </w:p>
        </w:tc>
        <w:tc>
          <w:tcPr>
            <w:tcW w:w="1247" w:type="dxa"/>
          </w:tcPr>
          <w:p w14:paraId="4F77CED7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vertAlign w:val="baseline"/>
              </w:rPr>
              <w:t>三等奖</w:t>
            </w:r>
          </w:p>
        </w:tc>
      </w:tr>
    </w:tbl>
    <w:p w14:paraId="2FFE2E2A">
      <w:pPr>
        <w:jc w:val="center"/>
        <w:rPr>
          <w:rFonts w:hint="eastAsia" w:ascii="宋体" w:hAnsi="宋体" w:eastAsia="宋体"/>
          <w:b/>
          <w:bCs/>
          <w:sz w:val="36"/>
          <w:szCs w:val="32"/>
        </w:rPr>
      </w:pPr>
    </w:p>
    <w:p w14:paraId="08F3386C">
      <w:pPr>
        <w:jc w:val="center"/>
        <w:rPr>
          <w:rFonts w:ascii="宋体" w:hAnsi="宋体" w:eastAsia="宋体"/>
          <w:b/>
          <w:bCs/>
          <w:sz w:val="36"/>
          <w:szCs w:val="32"/>
        </w:rPr>
      </w:pPr>
      <w:r>
        <w:rPr>
          <w:rFonts w:hint="eastAsia" w:ascii="宋体" w:hAnsi="宋体" w:eastAsia="宋体"/>
          <w:b/>
          <w:bCs/>
          <w:sz w:val="36"/>
          <w:szCs w:val="32"/>
        </w:rPr>
        <w:t>B</w:t>
      </w:r>
      <w:r>
        <w:rPr>
          <w:rFonts w:ascii="宋体" w:hAnsi="宋体" w:eastAsia="宋体"/>
          <w:b/>
          <w:bCs/>
          <w:sz w:val="36"/>
          <w:szCs w:val="32"/>
        </w:rPr>
        <w:t xml:space="preserve">10 </w:t>
      </w:r>
      <w:r>
        <w:rPr>
          <w:rFonts w:hint="eastAsia" w:ascii="宋体" w:hAnsi="宋体" w:eastAsia="宋体"/>
          <w:b/>
          <w:bCs/>
          <w:sz w:val="36"/>
          <w:szCs w:val="32"/>
          <w:lang w:eastAsia="zh-CN"/>
        </w:rPr>
        <w:t>倪敏优秀教师培育室</w:t>
      </w:r>
      <w:r>
        <w:rPr>
          <w:rFonts w:hint="eastAsia" w:ascii="宋体" w:hAnsi="宋体" w:eastAsia="宋体"/>
          <w:b/>
          <w:bCs/>
          <w:sz w:val="36"/>
          <w:szCs w:val="32"/>
        </w:rPr>
        <w:t>论文获奖情况一览表</w:t>
      </w:r>
    </w:p>
    <w:p w14:paraId="0EF747FF"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表1 省级及以上论文获奖汇总表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 w14:paraId="379F4804">
      <w:pPr>
        <w:jc w:val="center"/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区级论文获奖汇总表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6"/>
        <w:gridCol w:w="850"/>
        <w:gridCol w:w="7016"/>
        <w:gridCol w:w="1417"/>
        <w:gridCol w:w="1967"/>
        <w:gridCol w:w="1166"/>
        <w:gridCol w:w="1112"/>
      </w:tblGrid>
      <w:tr w14:paraId="65ED77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6" w:type="dxa"/>
            <w:vAlign w:val="top"/>
          </w:tcPr>
          <w:p w14:paraId="53BAE855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50" w:type="dxa"/>
            <w:vAlign w:val="top"/>
          </w:tcPr>
          <w:p w14:paraId="1177F9EE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7016" w:type="dxa"/>
            <w:vAlign w:val="top"/>
          </w:tcPr>
          <w:p w14:paraId="2A27DD53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417" w:type="dxa"/>
            <w:vAlign w:val="top"/>
          </w:tcPr>
          <w:p w14:paraId="2588A269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获奖时间</w:t>
            </w:r>
          </w:p>
        </w:tc>
        <w:tc>
          <w:tcPr>
            <w:tcW w:w="1967" w:type="dxa"/>
            <w:vAlign w:val="top"/>
          </w:tcPr>
          <w:p w14:paraId="549F29CC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评审（组织）单位</w:t>
            </w:r>
          </w:p>
        </w:tc>
        <w:tc>
          <w:tcPr>
            <w:tcW w:w="1166" w:type="dxa"/>
            <w:vAlign w:val="top"/>
          </w:tcPr>
          <w:p w14:paraId="15C5F812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  <w:tc>
          <w:tcPr>
            <w:tcW w:w="1112" w:type="dxa"/>
            <w:vAlign w:val="top"/>
          </w:tcPr>
          <w:p w14:paraId="3B35CFA3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获奖等第</w:t>
            </w:r>
          </w:p>
        </w:tc>
      </w:tr>
      <w:tr w14:paraId="09DE16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6" w:type="dxa"/>
          </w:tcPr>
          <w:p w14:paraId="7112854F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1</w:t>
            </w:r>
          </w:p>
        </w:tc>
        <w:tc>
          <w:tcPr>
            <w:tcW w:w="850" w:type="dxa"/>
          </w:tcPr>
          <w:p w14:paraId="236FEEE7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张璐妍</w:t>
            </w:r>
          </w:p>
        </w:tc>
        <w:tc>
          <w:tcPr>
            <w:tcW w:w="7016" w:type="dxa"/>
          </w:tcPr>
          <w:p w14:paraId="2264409F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跨学科理念下“统计与概率”教学实践研究</w:t>
            </w:r>
          </w:p>
        </w:tc>
        <w:tc>
          <w:tcPr>
            <w:tcW w:w="1417" w:type="dxa"/>
          </w:tcPr>
          <w:p w14:paraId="6FDCC182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2025.02</w:t>
            </w:r>
          </w:p>
        </w:tc>
        <w:tc>
          <w:tcPr>
            <w:tcW w:w="1967" w:type="dxa"/>
          </w:tcPr>
          <w:p w14:paraId="08A5E8F4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常州市新北区教师发展中心</w:t>
            </w:r>
          </w:p>
        </w:tc>
        <w:tc>
          <w:tcPr>
            <w:tcW w:w="1166" w:type="dxa"/>
          </w:tcPr>
          <w:p w14:paraId="53CD941B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区级</w:t>
            </w:r>
          </w:p>
        </w:tc>
        <w:tc>
          <w:tcPr>
            <w:tcW w:w="1112" w:type="dxa"/>
          </w:tcPr>
          <w:p w14:paraId="4DCE7086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三等奖</w:t>
            </w:r>
          </w:p>
        </w:tc>
      </w:tr>
      <w:tr w14:paraId="1598B9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6" w:type="dxa"/>
          </w:tcPr>
          <w:p w14:paraId="75BBFA6E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2</w:t>
            </w:r>
          </w:p>
        </w:tc>
        <w:tc>
          <w:tcPr>
            <w:tcW w:w="850" w:type="dxa"/>
          </w:tcPr>
          <w:p w14:paraId="46A627D8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乔茜</w:t>
            </w:r>
          </w:p>
        </w:tc>
        <w:tc>
          <w:tcPr>
            <w:tcW w:w="7016" w:type="dxa"/>
          </w:tcPr>
          <w:p w14:paraId="6FC665E2">
            <w:pPr>
              <w:jc w:val="center"/>
              <w:rPr>
                <w:vertAlign w:val="baseline"/>
              </w:rPr>
            </w:pPr>
            <w:r>
              <w:rPr>
                <w:i w:val="0"/>
                <w:strike w:val="0"/>
                <w:spacing w:val="0"/>
                <w:u w:val="none"/>
              </w:rPr>
              <w:t>《新课标理念下小学数学有效练习设计策略研究》</w:t>
            </w:r>
          </w:p>
        </w:tc>
        <w:tc>
          <w:tcPr>
            <w:tcW w:w="1417" w:type="dxa"/>
          </w:tcPr>
          <w:p w14:paraId="5D10122B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2025.02</w:t>
            </w:r>
          </w:p>
        </w:tc>
        <w:tc>
          <w:tcPr>
            <w:tcW w:w="1967" w:type="dxa"/>
          </w:tcPr>
          <w:p w14:paraId="72A3B832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常州市新北区教师发展中心</w:t>
            </w:r>
          </w:p>
        </w:tc>
        <w:tc>
          <w:tcPr>
            <w:tcW w:w="1166" w:type="dxa"/>
          </w:tcPr>
          <w:p w14:paraId="4D89C4A5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区级</w:t>
            </w:r>
          </w:p>
        </w:tc>
        <w:tc>
          <w:tcPr>
            <w:tcW w:w="1112" w:type="dxa"/>
          </w:tcPr>
          <w:p w14:paraId="4C41E3A1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二等奖</w:t>
            </w:r>
          </w:p>
        </w:tc>
      </w:tr>
      <w:tr w14:paraId="511983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6" w:type="dxa"/>
          </w:tcPr>
          <w:p w14:paraId="16560679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3</w:t>
            </w:r>
          </w:p>
        </w:tc>
        <w:tc>
          <w:tcPr>
            <w:tcW w:w="850" w:type="dxa"/>
          </w:tcPr>
          <w:p w14:paraId="1E7B50DD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李羚</w:t>
            </w:r>
          </w:p>
        </w:tc>
        <w:tc>
          <w:tcPr>
            <w:tcW w:w="7016" w:type="dxa"/>
          </w:tcPr>
          <w:p w14:paraId="4ADD15D6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《培养推理意识，促进思维进阶》</w:t>
            </w:r>
          </w:p>
        </w:tc>
        <w:tc>
          <w:tcPr>
            <w:tcW w:w="1417" w:type="dxa"/>
          </w:tcPr>
          <w:p w14:paraId="551D07CA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2024.09</w:t>
            </w:r>
          </w:p>
        </w:tc>
        <w:tc>
          <w:tcPr>
            <w:tcW w:w="1967" w:type="dxa"/>
          </w:tcPr>
          <w:p w14:paraId="40B502EC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常州市新北区教师发展中心</w:t>
            </w:r>
          </w:p>
        </w:tc>
        <w:tc>
          <w:tcPr>
            <w:tcW w:w="1166" w:type="dxa"/>
          </w:tcPr>
          <w:p w14:paraId="538FE1C8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区级</w:t>
            </w:r>
          </w:p>
        </w:tc>
        <w:tc>
          <w:tcPr>
            <w:tcW w:w="1112" w:type="dxa"/>
          </w:tcPr>
          <w:p w14:paraId="62D03C04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三等奖</w:t>
            </w:r>
          </w:p>
        </w:tc>
      </w:tr>
      <w:tr w14:paraId="75AC2E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6" w:type="dxa"/>
          </w:tcPr>
          <w:p w14:paraId="546CBC24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4</w:t>
            </w:r>
          </w:p>
        </w:tc>
        <w:tc>
          <w:tcPr>
            <w:tcW w:w="850" w:type="dxa"/>
          </w:tcPr>
          <w:p w14:paraId="05424CBD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李羚</w:t>
            </w:r>
          </w:p>
        </w:tc>
        <w:tc>
          <w:tcPr>
            <w:tcW w:w="7016" w:type="dxa"/>
          </w:tcPr>
          <w:p w14:paraId="75555BF0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《学·玩·创：“双减”背景下小学数学作业新样态》</w:t>
            </w:r>
          </w:p>
        </w:tc>
        <w:tc>
          <w:tcPr>
            <w:tcW w:w="1417" w:type="dxa"/>
          </w:tcPr>
          <w:p w14:paraId="27BBE5B9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2025.02</w:t>
            </w:r>
          </w:p>
        </w:tc>
        <w:tc>
          <w:tcPr>
            <w:tcW w:w="1967" w:type="dxa"/>
          </w:tcPr>
          <w:p w14:paraId="2CB9628C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常州市新北区教师发展中心</w:t>
            </w:r>
          </w:p>
        </w:tc>
        <w:tc>
          <w:tcPr>
            <w:tcW w:w="1166" w:type="dxa"/>
          </w:tcPr>
          <w:p w14:paraId="28E8D91C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区级</w:t>
            </w:r>
          </w:p>
        </w:tc>
        <w:tc>
          <w:tcPr>
            <w:tcW w:w="1112" w:type="dxa"/>
          </w:tcPr>
          <w:p w14:paraId="2F87FE4A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一等奖</w:t>
            </w:r>
          </w:p>
        </w:tc>
      </w:tr>
      <w:tr w14:paraId="09452A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46" w:type="dxa"/>
          </w:tcPr>
          <w:p w14:paraId="34C3AAAD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5</w:t>
            </w:r>
          </w:p>
        </w:tc>
        <w:tc>
          <w:tcPr>
            <w:tcW w:w="850" w:type="dxa"/>
          </w:tcPr>
          <w:p w14:paraId="644E1799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骆晓倩</w:t>
            </w:r>
          </w:p>
        </w:tc>
        <w:tc>
          <w:tcPr>
            <w:tcW w:w="7016" w:type="dxa"/>
          </w:tcPr>
          <w:p w14:paraId="7766DD01">
            <w:pPr>
              <w:pBdr>
                <w:bottom w:val="none" w:color="auto" w:sz="0" w:space="0"/>
              </w:pBdr>
              <w:snapToGrid/>
              <w:spacing w:line="240" w:lineRule="auto"/>
              <w:rPr>
                <w:vertAlign w:val="baseline"/>
              </w:rPr>
            </w:pPr>
            <w:r>
              <w:rPr>
                <w:i w:val="0"/>
                <w:strike w:val="0"/>
                <w:spacing w:val="0"/>
                <w:u w:val="none"/>
              </w:rPr>
              <w:t>《数智实验，慧育未来——奔牛实验小学数字化数学实验特色课程建设》</w:t>
            </w:r>
          </w:p>
        </w:tc>
        <w:tc>
          <w:tcPr>
            <w:tcW w:w="1417" w:type="dxa"/>
          </w:tcPr>
          <w:p w14:paraId="3E774E24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2025.03</w:t>
            </w:r>
          </w:p>
        </w:tc>
        <w:tc>
          <w:tcPr>
            <w:tcW w:w="1967" w:type="dxa"/>
          </w:tcPr>
          <w:p w14:paraId="2399041A">
            <w:pPr>
              <w:jc w:val="both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常州市新北区教师发展中心</w:t>
            </w:r>
          </w:p>
        </w:tc>
        <w:tc>
          <w:tcPr>
            <w:tcW w:w="1166" w:type="dxa"/>
          </w:tcPr>
          <w:p w14:paraId="4ABD0B69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区级</w:t>
            </w:r>
          </w:p>
        </w:tc>
        <w:tc>
          <w:tcPr>
            <w:tcW w:w="1112" w:type="dxa"/>
          </w:tcPr>
          <w:p w14:paraId="4F2D02F3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二等奖</w:t>
            </w:r>
          </w:p>
        </w:tc>
      </w:tr>
      <w:tr w14:paraId="68D49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46" w:type="dxa"/>
          </w:tcPr>
          <w:p w14:paraId="417D797C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6</w:t>
            </w:r>
          </w:p>
        </w:tc>
        <w:tc>
          <w:tcPr>
            <w:tcW w:w="850" w:type="dxa"/>
          </w:tcPr>
          <w:p w14:paraId="5E6A7494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周敏</w:t>
            </w:r>
          </w:p>
        </w:tc>
        <w:tc>
          <w:tcPr>
            <w:tcW w:w="7016" w:type="dxa"/>
          </w:tcPr>
          <w:p w14:paraId="1E7C3E12">
            <w:pPr>
              <w:pBdr>
                <w:bottom w:val="none" w:color="auto" w:sz="0" w:space="0"/>
              </w:pBdr>
              <w:snapToGrid/>
              <w:spacing w:line="240" w:lineRule="auto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《聚焦"游戏"教学 助力“思维”进阶》</w:t>
            </w:r>
          </w:p>
        </w:tc>
        <w:tc>
          <w:tcPr>
            <w:tcW w:w="1417" w:type="dxa"/>
          </w:tcPr>
          <w:p w14:paraId="52769BAC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2025.02</w:t>
            </w:r>
          </w:p>
        </w:tc>
        <w:tc>
          <w:tcPr>
            <w:tcW w:w="1967" w:type="dxa"/>
          </w:tcPr>
          <w:p w14:paraId="6FCF1B8B">
            <w:pPr>
              <w:jc w:val="both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常州市新北区教师发展中心</w:t>
            </w:r>
          </w:p>
        </w:tc>
        <w:tc>
          <w:tcPr>
            <w:tcW w:w="1166" w:type="dxa"/>
          </w:tcPr>
          <w:p w14:paraId="52258677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区级</w:t>
            </w:r>
          </w:p>
        </w:tc>
        <w:tc>
          <w:tcPr>
            <w:tcW w:w="1112" w:type="dxa"/>
          </w:tcPr>
          <w:p w14:paraId="63AB8D8A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一等奖</w:t>
            </w:r>
          </w:p>
        </w:tc>
      </w:tr>
      <w:tr w14:paraId="090021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46" w:type="dxa"/>
          </w:tcPr>
          <w:p w14:paraId="47429BC0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7</w:t>
            </w:r>
          </w:p>
        </w:tc>
        <w:tc>
          <w:tcPr>
            <w:tcW w:w="850" w:type="dxa"/>
          </w:tcPr>
          <w:p w14:paraId="1ACFE3A2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施佳丽</w:t>
            </w:r>
          </w:p>
        </w:tc>
        <w:tc>
          <w:tcPr>
            <w:tcW w:w="7016" w:type="dxa"/>
          </w:tcPr>
          <w:p w14:paraId="4EB053E1">
            <w:pPr>
              <w:pBdr>
                <w:bottom w:val="none" w:color="auto" w:sz="0" w:space="0"/>
              </w:pBdr>
              <w:snapToGrid/>
              <w:spacing w:before="0" w:after="0" w:line="240" w:lineRule="auto"/>
              <w:ind w:left="0" w:right="0"/>
              <w:jc w:val="both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《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经历多元表征 培育模型意识</w:t>
            </w:r>
            <w:r>
              <w:rPr>
                <w:rFonts w:hint="eastAsia"/>
                <w:vertAlign w:val="baseline"/>
              </w:rPr>
              <w:t>》</w:t>
            </w:r>
          </w:p>
        </w:tc>
        <w:tc>
          <w:tcPr>
            <w:tcW w:w="1417" w:type="dxa"/>
          </w:tcPr>
          <w:p w14:paraId="56F67E85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z w:val="21"/>
                <w:u w:val="none"/>
              </w:rPr>
              <w:t>2024.09</w:t>
            </w:r>
          </w:p>
          <w:p w14:paraId="44F0C4F6">
            <w:pPr>
              <w:jc w:val="center"/>
              <w:rPr>
                <w:vertAlign w:val="baseline"/>
              </w:rPr>
            </w:pPr>
          </w:p>
        </w:tc>
        <w:tc>
          <w:tcPr>
            <w:tcW w:w="1967" w:type="dxa"/>
          </w:tcPr>
          <w:p w14:paraId="40B06134">
            <w:pPr>
              <w:jc w:val="both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常州市新北区教师发展中心</w:t>
            </w:r>
          </w:p>
        </w:tc>
        <w:tc>
          <w:tcPr>
            <w:tcW w:w="1166" w:type="dxa"/>
          </w:tcPr>
          <w:p w14:paraId="7BCC78F2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区级</w:t>
            </w:r>
          </w:p>
        </w:tc>
        <w:tc>
          <w:tcPr>
            <w:tcW w:w="1112" w:type="dxa"/>
          </w:tcPr>
          <w:p w14:paraId="11043829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一等奖</w:t>
            </w:r>
          </w:p>
        </w:tc>
      </w:tr>
      <w:tr w14:paraId="268046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646" w:type="dxa"/>
          </w:tcPr>
          <w:p w14:paraId="346DCC70">
            <w:pPr>
              <w:jc w:val="center"/>
              <w:rPr>
                <w:sz w:val="19"/>
                <w:vertAlign w:val="baseline"/>
              </w:rPr>
            </w:pPr>
            <w:r>
              <w:rPr>
                <w:rFonts w:hint="eastAsia"/>
                <w:sz w:val="19"/>
                <w:vertAlign w:val="baseline"/>
              </w:rPr>
              <w:t>8</w:t>
            </w:r>
          </w:p>
        </w:tc>
        <w:tc>
          <w:tcPr>
            <w:tcW w:w="850" w:type="dxa"/>
          </w:tcPr>
          <w:p w14:paraId="06EA11CD">
            <w:pPr>
              <w:jc w:val="center"/>
              <w:rPr>
                <w:sz w:val="19"/>
                <w:vertAlign w:val="baseline"/>
              </w:rPr>
            </w:pPr>
            <w:r>
              <w:rPr>
                <w:rFonts w:hint="eastAsia"/>
                <w:sz w:val="19"/>
                <w:vertAlign w:val="baseline"/>
              </w:rPr>
              <w:t>刘红</w:t>
            </w:r>
          </w:p>
        </w:tc>
        <w:tc>
          <w:tcPr>
            <w:tcW w:w="7016" w:type="dxa"/>
          </w:tcPr>
          <w:p w14:paraId="66CDE0EB">
            <w:pPr>
              <w:pBdr>
                <w:bottom w:val="none" w:color="auto" w:sz="0" w:space="0"/>
              </w:pBdr>
              <w:snapToGrid/>
              <w:spacing w:line="240" w:lineRule="auto"/>
              <w:jc w:val="both"/>
              <w:rPr>
                <w:sz w:val="19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《以劳启智，知行合一 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2"/>
                <w:u w:val="none"/>
              </w:rPr>
              <w:t>——浅谈在小学数学教学中融入劳动教育的途径与策略》</w:t>
            </w:r>
          </w:p>
        </w:tc>
        <w:tc>
          <w:tcPr>
            <w:tcW w:w="1417" w:type="dxa"/>
          </w:tcPr>
          <w:p w14:paraId="6E960FCB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2024.09</w:t>
            </w:r>
          </w:p>
        </w:tc>
        <w:tc>
          <w:tcPr>
            <w:tcW w:w="1967" w:type="dxa"/>
          </w:tcPr>
          <w:p w14:paraId="2B71E545">
            <w:pPr>
              <w:jc w:val="both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常州市新北区教师发展中心</w:t>
            </w:r>
          </w:p>
        </w:tc>
        <w:tc>
          <w:tcPr>
            <w:tcW w:w="1166" w:type="dxa"/>
          </w:tcPr>
          <w:p w14:paraId="5528294E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区级</w:t>
            </w:r>
          </w:p>
        </w:tc>
        <w:tc>
          <w:tcPr>
            <w:tcW w:w="1112" w:type="dxa"/>
          </w:tcPr>
          <w:p w14:paraId="3D832EDB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三等奖</w:t>
            </w:r>
          </w:p>
        </w:tc>
      </w:tr>
      <w:tr w14:paraId="75151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646" w:type="dxa"/>
          </w:tcPr>
          <w:p w14:paraId="404B5157">
            <w:pPr>
              <w:jc w:val="center"/>
              <w:rPr>
                <w:sz w:val="19"/>
                <w:vertAlign w:val="baseline"/>
              </w:rPr>
            </w:pPr>
            <w:r>
              <w:rPr>
                <w:rFonts w:hint="eastAsia"/>
                <w:sz w:val="19"/>
                <w:vertAlign w:val="baseline"/>
              </w:rPr>
              <w:t>9</w:t>
            </w:r>
          </w:p>
        </w:tc>
        <w:tc>
          <w:tcPr>
            <w:tcW w:w="850" w:type="dxa"/>
          </w:tcPr>
          <w:p w14:paraId="54B0AF48">
            <w:pPr>
              <w:jc w:val="center"/>
              <w:rPr>
                <w:sz w:val="19"/>
                <w:vertAlign w:val="baseline"/>
              </w:rPr>
            </w:pPr>
            <w:r>
              <w:rPr>
                <w:rFonts w:hint="eastAsia"/>
                <w:sz w:val="19"/>
                <w:vertAlign w:val="baseline"/>
              </w:rPr>
              <w:t>戴莉</w:t>
            </w:r>
          </w:p>
        </w:tc>
        <w:tc>
          <w:tcPr>
            <w:tcW w:w="7016" w:type="dxa"/>
          </w:tcPr>
          <w:p w14:paraId="1EA45B91">
            <w:pPr>
              <w:pBdr>
                <w:bottom w:val="none" w:color="auto" w:sz="0" w:space="0"/>
              </w:pBdr>
              <w:snapToGrid/>
              <w:spacing w:line="240" w:lineRule="auto"/>
              <w:jc w:val="both"/>
              <w:rPr>
                <w:sz w:val="19"/>
              </w:rPr>
            </w:pPr>
            <w:r>
              <w:rPr>
                <w:rFonts w:hint="eastAsia"/>
                <w:sz w:val="19"/>
              </w:rPr>
              <w:t>《</w:t>
            </w:r>
            <w:r>
              <w:rPr>
                <w:i w:val="0"/>
                <w:strike w:val="0"/>
                <w:spacing w:val="0"/>
                <w:sz w:val="19"/>
                <w:u w:val="none"/>
              </w:rPr>
              <w:t>梳理·沟通·串联——乡村小学数学表达能力提升路径探究</w:t>
            </w:r>
            <w:r>
              <w:rPr>
                <w:rFonts w:hint="eastAsia"/>
                <w:sz w:val="19"/>
              </w:rPr>
              <w:t>》</w:t>
            </w:r>
          </w:p>
        </w:tc>
        <w:tc>
          <w:tcPr>
            <w:tcW w:w="1417" w:type="dxa"/>
          </w:tcPr>
          <w:p w14:paraId="4896D79A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2024.09</w:t>
            </w:r>
          </w:p>
          <w:p w14:paraId="59F089BB">
            <w:pPr>
              <w:jc w:val="center"/>
              <w:rPr>
                <w:vertAlign w:val="baseline"/>
              </w:rPr>
            </w:pPr>
          </w:p>
        </w:tc>
        <w:tc>
          <w:tcPr>
            <w:tcW w:w="1967" w:type="dxa"/>
          </w:tcPr>
          <w:p w14:paraId="4B39B2D2">
            <w:pPr>
              <w:jc w:val="both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常州市新北区教师发展中心</w:t>
            </w:r>
          </w:p>
          <w:p w14:paraId="72E2A9E1">
            <w:pPr>
              <w:jc w:val="both"/>
              <w:rPr>
                <w:vertAlign w:val="baseline"/>
              </w:rPr>
            </w:pPr>
          </w:p>
        </w:tc>
        <w:tc>
          <w:tcPr>
            <w:tcW w:w="1166" w:type="dxa"/>
          </w:tcPr>
          <w:p w14:paraId="3E7A208A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区级</w:t>
            </w:r>
          </w:p>
          <w:p w14:paraId="386CCD81">
            <w:pPr>
              <w:jc w:val="center"/>
              <w:rPr>
                <w:vertAlign w:val="baseline"/>
              </w:rPr>
            </w:pPr>
          </w:p>
        </w:tc>
        <w:tc>
          <w:tcPr>
            <w:tcW w:w="1112" w:type="dxa"/>
          </w:tcPr>
          <w:p w14:paraId="6A709894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二等奖</w:t>
            </w:r>
          </w:p>
          <w:p w14:paraId="2C3F95DC">
            <w:pPr>
              <w:jc w:val="center"/>
              <w:rPr>
                <w:vertAlign w:val="baseline"/>
              </w:rPr>
            </w:pPr>
          </w:p>
        </w:tc>
      </w:tr>
      <w:tr w14:paraId="45E25A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646" w:type="dxa"/>
          </w:tcPr>
          <w:p w14:paraId="7823053D">
            <w:pPr>
              <w:jc w:val="center"/>
              <w:rPr>
                <w:sz w:val="19"/>
                <w:vertAlign w:val="baseline"/>
              </w:rPr>
            </w:pPr>
            <w:r>
              <w:rPr>
                <w:rFonts w:hint="eastAsia"/>
                <w:sz w:val="19"/>
                <w:vertAlign w:val="baseline"/>
              </w:rPr>
              <w:t>10</w:t>
            </w:r>
          </w:p>
        </w:tc>
        <w:tc>
          <w:tcPr>
            <w:tcW w:w="850" w:type="dxa"/>
          </w:tcPr>
          <w:p w14:paraId="4786E39F">
            <w:pPr>
              <w:jc w:val="center"/>
              <w:rPr>
                <w:sz w:val="19"/>
                <w:vertAlign w:val="baseline"/>
              </w:rPr>
            </w:pPr>
            <w:r>
              <w:rPr>
                <w:rFonts w:hint="eastAsia"/>
                <w:sz w:val="19"/>
                <w:vertAlign w:val="baseline"/>
              </w:rPr>
              <w:t>易赛龙</w:t>
            </w:r>
          </w:p>
        </w:tc>
        <w:tc>
          <w:tcPr>
            <w:tcW w:w="7016" w:type="dxa"/>
          </w:tcPr>
          <w:p w14:paraId="541C116C">
            <w:pPr>
              <w:pBdr>
                <w:bottom w:val="none" w:color="auto" w:sz="0" w:space="0"/>
              </w:pBdr>
              <w:snapToGrid/>
              <w:spacing w:line="240" w:lineRule="auto"/>
              <w:jc w:val="both"/>
              <w:rPr>
                <w:sz w:val="19"/>
              </w:rPr>
            </w:pPr>
            <w:r>
              <w:rPr>
                <w:rFonts w:hint="eastAsia"/>
                <w:sz w:val="19"/>
              </w:rPr>
              <w:t>《数学与影视的融合：以哈利波特魔法世界中的数学奥秘为例》</w:t>
            </w:r>
          </w:p>
        </w:tc>
        <w:tc>
          <w:tcPr>
            <w:tcW w:w="1417" w:type="dxa"/>
          </w:tcPr>
          <w:p w14:paraId="21D2579D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2025.04</w:t>
            </w:r>
          </w:p>
        </w:tc>
        <w:tc>
          <w:tcPr>
            <w:tcW w:w="1967" w:type="dxa"/>
          </w:tcPr>
          <w:p w14:paraId="53F9A437">
            <w:pPr>
              <w:jc w:val="both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常州市新北区教师发展中心</w:t>
            </w:r>
          </w:p>
          <w:p w14:paraId="4BE45650">
            <w:pPr>
              <w:jc w:val="both"/>
              <w:rPr>
                <w:vertAlign w:val="baseline"/>
              </w:rPr>
            </w:pPr>
          </w:p>
        </w:tc>
        <w:tc>
          <w:tcPr>
            <w:tcW w:w="1166" w:type="dxa"/>
          </w:tcPr>
          <w:p w14:paraId="234A7790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区级</w:t>
            </w:r>
          </w:p>
          <w:p w14:paraId="313AFCC8">
            <w:pPr>
              <w:jc w:val="center"/>
              <w:rPr>
                <w:vertAlign w:val="baseline"/>
              </w:rPr>
            </w:pPr>
          </w:p>
        </w:tc>
        <w:tc>
          <w:tcPr>
            <w:tcW w:w="1112" w:type="dxa"/>
          </w:tcPr>
          <w:p w14:paraId="33A5338A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三等奖</w:t>
            </w:r>
          </w:p>
          <w:p w14:paraId="5E24AEFA">
            <w:pPr>
              <w:jc w:val="center"/>
              <w:rPr>
                <w:vertAlign w:val="baseline"/>
              </w:rPr>
            </w:pPr>
          </w:p>
        </w:tc>
      </w:tr>
      <w:tr w14:paraId="6A9DDF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646" w:type="dxa"/>
          </w:tcPr>
          <w:p w14:paraId="185536C3">
            <w:pPr>
              <w:jc w:val="center"/>
              <w:rPr>
                <w:sz w:val="19"/>
                <w:vertAlign w:val="baseline"/>
              </w:rPr>
            </w:pPr>
            <w:r>
              <w:rPr>
                <w:rFonts w:hint="eastAsia"/>
                <w:sz w:val="19"/>
                <w:vertAlign w:val="baseline"/>
              </w:rPr>
              <w:t>11</w:t>
            </w:r>
          </w:p>
        </w:tc>
        <w:tc>
          <w:tcPr>
            <w:tcW w:w="850" w:type="dxa"/>
          </w:tcPr>
          <w:p w14:paraId="1D9FFDC2">
            <w:pPr>
              <w:jc w:val="center"/>
              <w:rPr>
                <w:sz w:val="19"/>
                <w:vertAlign w:val="baseline"/>
              </w:rPr>
            </w:pPr>
            <w:r>
              <w:rPr>
                <w:rFonts w:hint="eastAsia"/>
                <w:sz w:val="19"/>
                <w:vertAlign w:val="baseline"/>
              </w:rPr>
              <w:t>韩舒阳</w:t>
            </w:r>
          </w:p>
        </w:tc>
        <w:tc>
          <w:tcPr>
            <w:tcW w:w="7016" w:type="dxa"/>
          </w:tcPr>
          <w:p w14:paraId="36C2D262">
            <w:pPr>
              <w:pBdr>
                <w:bottom w:val="none" w:color="auto" w:sz="0" w:space="0"/>
              </w:pBdr>
              <w:snapToGrid/>
              <w:spacing w:line="240" w:lineRule="auto"/>
              <w:jc w:val="both"/>
              <w:rPr>
                <w:sz w:val="19"/>
              </w:rPr>
            </w:pPr>
            <w:r>
              <w:rPr>
                <w:rFonts w:hint="eastAsia"/>
                <w:sz w:val="19"/>
              </w:rPr>
              <w:t>《学科育人：小学数学跨学科实践性作业设计与实施研究》</w:t>
            </w:r>
          </w:p>
        </w:tc>
        <w:tc>
          <w:tcPr>
            <w:tcW w:w="1417" w:type="dxa"/>
          </w:tcPr>
          <w:p w14:paraId="2C471FB7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2024.9</w:t>
            </w:r>
          </w:p>
        </w:tc>
        <w:tc>
          <w:tcPr>
            <w:tcW w:w="1967" w:type="dxa"/>
          </w:tcPr>
          <w:p w14:paraId="0A6A1FB8">
            <w:pPr>
              <w:pBdr>
                <w:bottom w:val="none" w:color="auto" w:sz="0" w:space="0"/>
              </w:pBdr>
              <w:jc w:val="both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常州市新北区教师发展中心</w:t>
            </w:r>
          </w:p>
        </w:tc>
        <w:tc>
          <w:tcPr>
            <w:tcW w:w="1166" w:type="dxa"/>
          </w:tcPr>
          <w:p w14:paraId="0A98FB24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区级</w:t>
            </w:r>
          </w:p>
          <w:p w14:paraId="53BCD98E">
            <w:pPr>
              <w:jc w:val="center"/>
              <w:rPr>
                <w:vertAlign w:val="baseline"/>
              </w:rPr>
            </w:pPr>
          </w:p>
        </w:tc>
        <w:tc>
          <w:tcPr>
            <w:tcW w:w="1112" w:type="dxa"/>
          </w:tcPr>
          <w:p w14:paraId="66DD600F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三等奖</w:t>
            </w:r>
          </w:p>
          <w:p w14:paraId="6D54D135">
            <w:pPr>
              <w:jc w:val="center"/>
              <w:rPr>
                <w:vertAlign w:val="baseline"/>
              </w:rPr>
            </w:pPr>
          </w:p>
        </w:tc>
      </w:tr>
      <w:tr w14:paraId="7B2948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646" w:type="dxa"/>
          </w:tcPr>
          <w:p w14:paraId="43A845FD">
            <w:pPr>
              <w:jc w:val="center"/>
              <w:rPr>
                <w:sz w:val="19"/>
                <w:vertAlign w:val="baseline"/>
              </w:rPr>
            </w:pPr>
            <w:r>
              <w:rPr>
                <w:rFonts w:hint="eastAsia"/>
                <w:sz w:val="19"/>
                <w:vertAlign w:val="baseline"/>
              </w:rPr>
              <w:t>12</w:t>
            </w:r>
          </w:p>
        </w:tc>
        <w:tc>
          <w:tcPr>
            <w:tcW w:w="850" w:type="dxa"/>
          </w:tcPr>
          <w:p w14:paraId="23124098">
            <w:pPr>
              <w:jc w:val="center"/>
              <w:rPr>
                <w:sz w:val="19"/>
                <w:vertAlign w:val="baseline"/>
              </w:rPr>
            </w:pPr>
            <w:r>
              <w:rPr>
                <w:rFonts w:hint="eastAsia"/>
                <w:sz w:val="19"/>
                <w:vertAlign w:val="baseline"/>
              </w:rPr>
              <w:t>韩舒阳</w:t>
            </w:r>
          </w:p>
        </w:tc>
        <w:tc>
          <w:tcPr>
            <w:tcW w:w="7016" w:type="dxa"/>
          </w:tcPr>
          <w:p w14:paraId="10B47551">
            <w:pPr>
              <w:pBdr>
                <w:bottom w:val="none" w:color="auto" w:sz="0" w:space="0"/>
              </w:pBdr>
              <w:snapToGrid/>
              <w:spacing w:line="240" w:lineRule="auto"/>
              <w:jc w:val="both"/>
              <w:rPr>
                <w:sz w:val="19"/>
              </w:rPr>
            </w:pPr>
            <w:r>
              <w:rPr>
                <w:rFonts w:hint="eastAsia"/>
                <w:sz w:val="19"/>
              </w:rPr>
              <w:t>《小学数学跨学科作业设计体系建构与实践》</w:t>
            </w:r>
          </w:p>
        </w:tc>
        <w:tc>
          <w:tcPr>
            <w:tcW w:w="1417" w:type="dxa"/>
          </w:tcPr>
          <w:p w14:paraId="14540C73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2025.2</w:t>
            </w:r>
          </w:p>
        </w:tc>
        <w:tc>
          <w:tcPr>
            <w:tcW w:w="1967" w:type="dxa"/>
          </w:tcPr>
          <w:p w14:paraId="339A0064">
            <w:pPr>
              <w:pBdr>
                <w:bottom w:val="none" w:color="auto" w:sz="0" w:space="0"/>
              </w:pBdr>
              <w:jc w:val="both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常州市新北区教师发展中心</w:t>
            </w:r>
          </w:p>
        </w:tc>
        <w:tc>
          <w:tcPr>
            <w:tcW w:w="1166" w:type="dxa"/>
          </w:tcPr>
          <w:p w14:paraId="15977DE4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区级</w:t>
            </w:r>
          </w:p>
          <w:p w14:paraId="050D5C61">
            <w:pPr>
              <w:jc w:val="center"/>
              <w:rPr>
                <w:vertAlign w:val="baseline"/>
              </w:rPr>
            </w:pPr>
          </w:p>
        </w:tc>
        <w:tc>
          <w:tcPr>
            <w:tcW w:w="1112" w:type="dxa"/>
          </w:tcPr>
          <w:p w14:paraId="40A1E21B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二等奖</w:t>
            </w:r>
          </w:p>
          <w:p w14:paraId="5796CBE9">
            <w:pPr>
              <w:jc w:val="center"/>
              <w:rPr>
                <w:vertAlign w:val="baseline"/>
              </w:rPr>
            </w:pPr>
          </w:p>
        </w:tc>
      </w:tr>
      <w:tr w14:paraId="384B23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646" w:type="dxa"/>
          </w:tcPr>
          <w:p w14:paraId="71C30BB3">
            <w:pPr>
              <w:jc w:val="center"/>
              <w:rPr>
                <w:sz w:val="19"/>
                <w:vertAlign w:val="baseline"/>
              </w:rPr>
            </w:pPr>
            <w:r>
              <w:rPr>
                <w:rFonts w:hint="eastAsia"/>
                <w:sz w:val="19"/>
                <w:vertAlign w:val="baseline"/>
              </w:rPr>
              <w:t>13</w:t>
            </w:r>
          </w:p>
        </w:tc>
        <w:tc>
          <w:tcPr>
            <w:tcW w:w="850" w:type="dxa"/>
          </w:tcPr>
          <w:p w14:paraId="7518207A">
            <w:pPr>
              <w:jc w:val="center"/>
              <w:rPr>
                <w:sz w:val="19"/>
                <w:vertAlign w:val="baseline"/>
              </w:rPr>
            </w:pPr>
            <w:r>
              <w:rPr>
                <w:rFonts w:hint="eastAsia"/>
                <w:sz w:val="19"/>
                <w:vertAlign w:val="baseline"/>
              </w:rPr>
              <w:t>刘孝玲</w:t>
            </w:r>
          </w:p>
        </w:tc>
        <w:tc>
          <w:tcPr>
            <w:tcW w:w="7016" w:type="dxa"/>
          </w:tcPr>
          <w:p w14:paraId="4439D861">
            <w:pPr>
              <w:pBdr>
                <w:bottom w:val="none" w:color="auto" w:sz="0" w:space="0"/>
              </w:pBdr>
              <w:snapToGrid/>
              <w:spacing w:line="240" w:lineRule="auto"/>
              <w:jc w:val="both"/>
              <w:rPr>
                <w:sz w:val="19"/>
              </w:rPr>
            </w:pPr>
            <w:r>
              <w:rPr>
                <w:rFonts w:hint="eastAsia"/>
                <w:sz w:val="19"/>
              </w:rPr>
              <w:t>《</w:t>
            </w:r>
            <w:r>
              <w:rPr>
                <w:i w:val="0"/>
                <w:strike w:val="0"/>
                <w:spacing w:val="0"/>
                <w:sz w:val="19"/>
                <w:u w:val="none"/>
              </w:rPr>
              <w:t>依托多元表征，在对比间构建算理算法</w:t>
            </w:r>
            <w:r>
              <w:rPr>
                <w:rFonts w:hint="eastAsia"/>
                <w:sz w:val="19"/>
              </w:rPr>
              <w:t>》</w:t>
            </w:r>
          </w:p>
        </w:tc>
        <w:tc>
          <w:tcPr>
            <w:tcW w:w="1417" w:type="dxa"/>
          </w:tcPr>
          <w:p w14:paraId="0E0FEAB2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2025.2</w:t>
            </w:r>
          </w:p>
        </w:tc>
        <w:tc>
          <w:tcPr>
            <w:tcW w:w="1967" w:type="dxa"/>
          </w:tcPr>
          <w:p w14:paraId="3148F7FA">
            <w:pPr>
              <w:pBdr>
                <w:bottom w:val="none" w:color="auto" w:sz="0" w:space="0"/>
              </w:pBdr>
              <w:jc w:val="both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常州市新北区教师发展中心</w:t>
            </w:r>
          </w:p>
        </w:tc>
        <w:tc>
          <w:tcPr>
            <w:tcW w:w="1166" w:type="dxa"/>
          </w:tcPr>
          <w:p w14:paraId="36424D0B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区级</w:t>
            </w:r>
          </w:p>
          <w:p w14:paraId="15489D49">
            <w:pPr>
              <w:jc w:val="center"/>
              <w:rPr>
                <w:vertAlign w:val="baseline"/>
              </w:rPr>
            </w:pPr>
          </w:p>
        </w:tc>
        <w:tc>
          <w:tcPr>
            <w:tcW w:w="1112" w:type="dxa"/>
          </w:tcPr>
          <w:p w14:paraId="7BA1CE2B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一等奖</w:t>
            </w:r>
          </w:p>
        </w:tc>
      </w:tr>
    </w:tbl>
    <w:p w14:paraId="6F6CE254">
      <w:pPr>
        <w:jc w:val="center"/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</w:pPr>
    </w:p>
    <w:p w14:paraId="4D6F9F7E">
      <w:pPr>
        <w:jc w:val="both"/>
        <w:rPr>
          <w:b/>
          <w:sz w:val="36"/>
        </w:rPr>
      </w:pPr>
      <w:r>
        <w:rPr>
          <w:b/>
          <w:sz w:val="36"/>
        </w:rPr>
        <w:br w:type="page"/>
      </w:r>
    </w:p>
    <w:p w14:paraId="0A43703F">
      <w:pPr>
        <w:jc w:val="center"/>
        <w:rPr>
          <w:b/>
          <w:sz w:val="36"/>
          <w:szCs w:val="22"/>
        </w:rPr>
      </w:pPr>
      <w:r>
        <w:rPr>
          <w:b/>
          <w:sz w:val="36"/>
        </w:rPr>
        <w:t xml:space="preserve">B10  </w:t>
      </w:r>
      <w:r>
        <w:rPr>
          <w:rFonts w:hint="eastAsia"/>
          <w:b/>
          <w:sz w:val="36"/>
        </w:rPr>
        <w:t>佐证材料</w:t>
      </w:r>
    </w:p>
    <w:p w14:paraId="71FB7C6A"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 xml:space="preserve">材料1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省级及以上获奖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490"/>
        <w:gridCol w:w="3544"/>
      </w:tblGrid>
      <w:tr w14:paraId="6ADABA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7A467A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4A625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69DD2D"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公示链接</w:t>
            </w:r>
          </w:p>
        </w:tc>
      </w:tr>
      <w:tr w14:paraId="29A149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1436E2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A5CAD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所有图片请保证清晰，网上截图请包括评审单位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A73EC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网上公示链接</w:t>
            </w:r>
          </w:p>
        </w:tc>
      </w:tr>
      <w:tr w14:paraId="2DE643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1DFFDB">
            <w:pPr>
              <w:jc w:val="center"/>
            </w:pPr>
            <w:r>
              <w:t>1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851053">
            <w:pPr>
              <w:jc w:val="center"/>
            </w:pPr>
            <w:r>
              <w:drawing>
                <wp:inline distT="0" distB="0" distL="0" distR="0">
                  <wp:extent cx="2796540" cy="3921760"/>
                  <wp:effectExtent l="0" t="0" r="0" b="0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96540" cy="3921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D10470">
            <w:pPr>
              <w:jc w:val="center"/>
            </w:pPr>
          </w:p>
        </w:tc>
      </w:tr>
      <w:tr w14:paraId="06EA9A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16481C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5BF87">
            <w:pPr>
              <w:jc w:val="center"/>
            </w:pPr>
            <w:r>
              <w:drawing>
                <wp:inline distT="0" distB="0" distL="0" distR="0">
                  <wp:extent cx="3977640" cy="2830195"/>
                  <wp:effectExtent l="0" t="0" r="0" b="0"/>
                  <wp:docPr id="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descrip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40" cy="2830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B48D92">
            <w:pPr>
              <w:jc w:val="center"/>
            </w:pPr>
          </w:p>
        </w:tc>
      </w:tr>
      <w:tr w14:paraId="310DF3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39ACAE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9475DF">
            <w:pPr>
              <w:jc w:val="center"/>
            </w:pPr>
            <w:r>
              <w:drawing>
                <wp:inline distT="0" distB="0" distL="0" distR="0">
                  <wp:extent cx="3977640" cy="2887980"/>
                  <wp:effectExtent l="0" t="0" r="0" b="0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40" cy="2888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771034">
            <w:pPr>
              <w:jc w:val="center"/>
            </w:pPr>
          </w:p>
        </w:tc>
      </w:tr>
      <w:tr w14:paraId="31FC25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2B4E98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47B8C6">
            <w:pPr>
              <w:jc w:val="center"/>
            </w:pPr>
            <w:r>
              <w:drawing>
                <wp:inline distT="0" distB="0" distL="0" distR="0">
                  <wp:extent cx="3977640" cy="2910205"/>
                  <wp:effectExtent l="0" t="0" r="0" b="0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40" cy="291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3B5242">
            <w:pPr>
              <w:jc w:val="center"/>
            </w:pPr>
          </w:p>
        </w:tc>
      </w:tr>
      <w:tr w14:paraId="4BFCD6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4D266D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242A68">
            <w:pPr>
              <w:jc w:val="center"/>
            </w:pPr>
            <w:r>
              <w:drawing>
                <wp:inline distT="0" distB="0" distL="0" distR="0">
                  <wp:extent cx="3977640" cy="2797810"/>
                  <wp:effectExtent l="0" t="0" r="0" b="0"/>
                  <wp:docPr id="1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40" cy="2797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0A0D31">
            <w:pPr>
              <w:jc w:val="center"/>
            </w:pPr>
          </w:p>
        </w:tc>
      </w:tr>
      <w:tr w14:paraId="4D5F2C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51658F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9D6873">
            <w:pPr>
              <w:jc w:val="center"/>
            </w:pPr>
            <w:r>
              <w:drawing>
                <wp:inline distT="0" distB="0" distL="0" distR="0">
                  <wp:extent cx="3977640" cy="2749550"/>
                  <wp:effectExtent l="0" t="0" r="0" b="0"/>
                  <wp:docPr id="1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 descr="descrip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40" cy="275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884F50">
            <w:pPr>
              <w:jc w:val="center"/>
            </w:pPr>
          </w:p>
        </w:tc>
      </w:tr>
      <w:tr w14:paraId="12B1A5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5" w:hRule="atLeast"/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301AA7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545703">
            <w:pPr>
              <w:jc w:val="center"/>
            </w:pPr>
            <w:r>
              <w:drawing>
                <wp:inline distT="0" distB="0" distL="0" distR="0">
                  <wp:extent cx="3981450" cy="2776855"/>
                  <wp:effectExtent l="0" t="0" r="0" b="0"/>
                  <wp:docPr id="2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 descr="descript"/>
                          <pic:cNvPicPr/>
                        </pic:nvPicPr>
                        <pic:blipFill>
                          <a:blip r:embed="rId12"/>
                          <a:srcRect t="2870" b="4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777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AAA733">
            <w:pPr>
              <w:jc w:val="center"/>
            </w:pPr>
          </w:p>
        </w:tc>
      </w:tr>
      <w:tr w14:paraId="6E072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16689E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5A793E">
            <w:pPr>
              <w:jc w:val="center"/>
            </w:pPr>
            <w:r>
              <w:drawing>
                <wp:inline distT="0" distB="0" distL="0" distR="0">
                  <wp:extent cx="3977640" cy="1920240"/>
                  <wp:effectExtent l="0" t="0" r="0" b="0"/>
                  <wp:docPr id="2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 descr="descrip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40" cy="1920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977640" cy="407035"/>
                  <wp:effectExtent l="0" t="0" r="0" b="0"/>
                  <wp:docPr id="2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 descr="descrip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40" cy="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812E50">
            <w:pPr>
              <w:jc w:val="center"/>
            </w:pPr>
          </w:p>
        </w:tc>
      </w:tr>
    </w:tbl>
    <w:p w14:paraId="489D8657">
      <w:pPr>
        <w:pBdr>
          <w:bottom w:val="none" w:color="auto" w:sz="0" w:space="0"/>
        </w:pBdr>
        <w:jc w:val="both"/>
      </w:pPr>
    </w:p>
    <w:p w14:paraId="54688243">
      <w:pPr>
        <w:jc w:val="center"/>
        <w:rPr>
          <w:rFonts w:hint="eastAsia" w:ascii="宋体" w:hAnsi="宋体" w:eastAsia="宋体"/>
          <w:b/>
          <w:bCs/>
          <w:sz w:val="28"/>
          <w:szCs w:val="28"/>
        </w:rPr>
      </w:pPr>
    </w:p>
    <w:p w14:paraId="3F43A0E9">
      <w:pPr>
        <w:jc w:val="center"/>
        <w:rPr>
          <w:rFonts w:hint="eastAsia"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br w:type="page"/>
      </w:r>
    </w:p>
    <w:p w14:paraId="631718DA">
      <w:pPr>
        <w:pBdr>
          <w:bottom w:val="none" w:color="auto" w:sz="0" w:space="0"/>
        </w:pBdr>
        <w:jc w:val="center"/>
      </w:pPr>
      <w:bookmarkStart w:id="0" w:name="_GoBack"/>
      <w:bookmarkEnd w:id="0"/>
      <w:r>
        <w:rPr>
          <w:rFonts w:hint="eastAsia" w:ascii="宋体" w:hAnsi="宋体" w:eastAsia="宋体"/>
          <w:b/>
          <w:bCs/>
          <w:sz w:val="28"/>
          <w:szCs w:val="28"/>
        </w:rPr>
        <w:t>材料</w:t>
      </w:r>
      <w:r>
        <w:rPr>
          <w:rFonts w:ascii="宋体" w:hAnsi="宋体" w:eastAsia="宋体"/>
          <w:b/>
          <w:bCs/>
          <w:sz w:val="28"/>
          <w:szCs w:val="28"/>
        </w:rPr>
        <w:t xml:space="preserve">3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区级论文获奖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5"/>
        <w:tblpPr w:leftFromText="180" w:rightFromText="180" w:vertAnchor="text" w:horzAnchor="page" w:tblpX="2569" w:tblpY="13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490"/>
        <w:gridCol w:w="3544"/>
      </w:tblGrid>
      <w:tr w14:paraId="64501B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02C039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544E0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FD6219"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公示链接</w:t>
            </w:r>
          </w:p>
        </w:tc>
      </w:tr>
      <w:tr w14:paraId="61DBD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2BA59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722FF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所有图片请保证清晰，网上截图请包括评审单位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934C63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网上公示链接</w:t>
            </w:r>
          </w:p>
        </w:tc>
      </w:tr>
      <w:tr w14:paraId="23A2B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4135CE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0ECA64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drawing>
                <wp:inline distT="0" distB="0" distL="0" distR="0">
                  <wp:extent cx="2339340" cy="3432810"/>
                  <wp:effectExtent l="0" t="0" r="0" b="0"/>
                  <wp:docPr id="2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" descr="descript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39340" cy="3433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284760">
            <w:pPr>
              <w:jc w:val="both"/>
              <w:rPr>
                <w:color w:val="FF0000"/>
              </w:rPr>
            </w:pPr>
          </w:p>
        </w:tc>
      </w:tr>
      <w:tr w14:paraId="17316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B1DE04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40B52D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drawing>
                <wp:inline distT="0" distB="0" distL="0" distR="0">
                  <wp:extent cx="3739515" cy="2688590"/>
                  <wp:effectExtent l="0" t="0" r="0" b="0"/>
                  <wp:docPr id="3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" descr="descrip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9515" cy="2688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E30206">
            <w:pPr>
              <w:jc w:val="both"/>
              <w:rPr>
                <w:color w:val="FF0000"/>
              </w:rPr>
            </w:pPr>
          </w:p>
        </w:tc>
      </w:tr>
      <w:tr w14:paraId="5DC9E8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1E01AF">
            <w:pPr>
              <w:jc w:val="center"/>
            </w:pPr>
            <w:r>
              <w:t>3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7DB605">
            <w:pPr>
              <w:jc w:val="both"/>
            </w:pPr>
            <w:r>
              <w:drawing>
                <wp:inline distT="0" distB="0" distL="0" distR="0">
                  <wp:extent cx="3977640" cy="2926080"/>
                  <wp:effectExtent l="0" t="0" r="0" b="0"/>
                  <wp:docPr id="3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 descr="descript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40" cy="292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CE07C">
            <w:pPr>
              <w:jc w:val="center"/>
            </w:pPr>
          </w:p>
        </w:tc>
      </w:tr>
      <w:tr w14:paraId="6A95D4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0E8413">
            <w:pPr>
              <w:jc w:val="center"/>
            </w:pPr>
            <w:r>
              <w:t>4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740002">
            <w:pPr>
              <w:jc w:val="center"/>
            </w:pPr>
            <w:r>
              <w:drawing>
                <wp:inline distT="0" distB="0" distL="0" distR="0">
                  <wp:extent cx="3977640" cy="2842260"/>
                  <wp:effectExtent l="0" t="0" r="0" b="0"/>
                  <wp:docPr id="3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" descr="descript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40" cy="2842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872FE7">
            <w:pPr>
              <w:jc w:val="center"/>
            </w:pPr>
          </w:p>
        </w:tc>
      </w:tr>
      <w:tr w14:paraId="2A67FD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62E48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86CF44">
            <w:pPr>
              <w:jc w:val="center"/>
            </w:pPr>
            <w:r>
              <w:drawing>
                <wp:inline distT="0" distB="0" distL="0" distR="0">
                  <wp:extent cx="1044575" cy="1482725"/>
                  <wp:effectExtent l="0" t="0" r="0" b="0"/>
                  <wp:docPr id="4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 descr="descript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794" cy="1482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072640" cy="1459865"/>
                  <wp:effectExtent l="0" t="0" r="0" b="0"/>
                  <wp:docPr id="4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" descr="descript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46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A0EB63">
            <w:pPr>
              <w:jc w:val="center"/>
            </w:pPr>
            <w:r>
              <w:rPr>
                <w:i w:val="0"/>
                <w:strike w:val="0"/>
                <w:spacing w:val="0"/>
                <w:u w:val="none"/>
              </w:rPr>
              <w:t>http://www.bnsx.xbjyfw.cn/teacher/office/reddocsxb/doc_detail.aspx?id=634362&amp;taskid=13162066</w:t>
            </w:r>
          </w:p>
          <w:p w14:paraId="5B39E764">
            <w:pPr>
              <w:jc w:val="center"/>
            </w:pPr>
          </w:p>
        </w:tc>
      </w:tr>
      <w:tr w14:paraId="11C1C2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12C38D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D5C394">
            <w:pPr>
              <w:jc w:val="center"/>
            </w:pPr>
            <w:r>
              <w:drawing>
                <wp:inline distT="0" distB="0" distL="0" distR="0">
                  <wp:extent cx="3977640" cy="2813685"/>
                  <wp:effectExtent l="0" t="0" r="0" b="0"/>
                  <wp:docPr id="4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" descr="descript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40" cy="2813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8648DE">
            <w:pPr>
              <w:jc w:val="center"/>
            </w:pPr>
          </w:p>
        </w:tc>
      </w:tr>
      <w:tr w14:paraId="245D5A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3AC3BD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9CD2AB">
            <w:pPr>
              <w:jc w:val="center"/>
            </w:pPr>
            <w:r>
              <w:drawing>
                <wp:inline distT="0" distB="0" distL="0" distR="0">
                  <wp:extent cx="3977640" cy="2769870"/>
                  <wp:effectExtent l="0" t="0" r="0" b="0"/>
                  <wp:docPr id="5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" descr="descript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40" cy="277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781EA7">
            <w:pPr>
              <w:jc w:val="center"/>
            </w:pPr>
          </w:p>
        </w:tc>
      </w:tr>
      <w:tr w14:paraId="6AA086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BD92CC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2C4038">
            <w:pPr>
              <w:jc w:val="center"/>
            </w:pPr>
            <w:r>
              <w:drawing>
                <wp:inline distT="0" distB="0" distL="0" distR="0">
                  <wp:extent cx="3977640" cy="3034030"/>
                  <wp:effectExtent l="0" t="0" r="0" b="0"/>
                  <wp:docPr id="5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" descr="descript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40" cy="303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2B67B8">
            <w:pPr>
              <w:jc w:val="center"/>
            </w:pPr>
          </w:p>
        </w:tc>
      </w:tr>
      <w:tr w14:paraId="5047B0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A91FE3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ABF3F">
            <w:pPr>
              <w:jc w:val="center"/>
            </w:pPr>
            <w:r>
              <w:drawing>
                <wp:inline distT="0" distB="0" distL="0" distR="0">
                  <wp:extent cx="3977640" cy="2795905"/>
                  <wp:effectExtent l="0" t="0" r="0" b="0"/>
                  <wp:docPr id="5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" descr="descript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40" cy="2796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6CFFDB">
            <w:pPr>
              <w:jc w:val="center"/>
            </w:pPr>
          </w:p>
        </w:tc>
      </w:tr>
      <w:tr w14:paraId="7DECB2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12ADD2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BE6F83">
            <w:pPr>
              <w:jc w:val="center"/>
            </w:pPr>
            <w:r>
              <w:drawing>
                <wp:inline distT="0" distB="0" distL="0" distR="0">
                  <wp:extent cx="3977640" cy="2709545"/>
                  <wp:effectExtent l="0" t="0" r="0" b="0"/>
                  <wp:docPr id="5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" descr="descrip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40" cy="270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7627B4">
            <w:pPr>
              <w:jc w:val="center"/>
            </w:pPr>
          </w:p>
        </w:tc>
      </w:tr>
      <w:tr w14:paraId="20FB75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A5BAE3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10DC8A">
            <w:pPr>
              <w:jc w:val="center"/>
            </w:pPr>
            <w:r>
              <w:drawing>
                <wp:inline distT="0" distB="0" distL="0" distR="0">
                  <wp:extent cx="3977640" cy="2940685"/>
                  <wp:effectExtent l="0" t="0" r="0" b="0"/>
                  <wp:docPr id="6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" descr="descrip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40" cy="294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783C69">
            <w:pPr>
              <w:jc w:val="center"/>
            </w:pPr>
          </w:p>
        </w:tc>
      </w:tr>
      <w:tr w14:paraId="130CD2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9D9A5D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8C8428">
            <w:pPr>
              <w:jc w:val="center"/>
            </w:pPr>
            <w:r>
              <w:drawing>
                <wp:inline distT="0" distB="0" distL="0" distR="0">
                  <wp:extent cx="3977640" cy="2811780"/>
                  <wp:effectExtent l="0" t="0" r="0" b="0"/>
                  <wp:docPr id="6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" descr="descrip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40" cy="281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0EA14D">
            <w:pPr>
              <w:jc w:val="center"/>
            </w:pPr>
          </w:p>
        </w:tc>
      </w:tr>
      <w:tr w14:paraId="3F548E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7770F8">
            <w:pPr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3E5F2C">
            <w:pPr>
              <w:jc w:val="center"/>
            </w:pPr>
            <w:r>
              <w:drawing>
                <wp:inline distT="0" distB="0" distL="0" distR="0">
                  <wp:extent cx="2563495" cy="3691890"/>
                  <wp:effectExtent l="0" t="0" r="0" b="0"/>
                  <wp:docPr id="6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" descr="descript"/>
                          <pic:cNvPicPr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63531" cy="3692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0FBF2B">
            <w:pPr>
              <w:jc w:val="center"/>
            </w:pPr>
          </w:p>
        </w:tc>
      </w:tr>
    </w:tbl>
    <w:p w14:paraId="1C5DB3A4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64D3EABF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1D55C645"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</w:p>
    <w:p w14:paraId="0F9FE651">
      <w:pPr>
        <w:rPr>
          <w:b/>
          <w:bCs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YxMzgwNzQ2MmE1NTE4NDNlMDIzYTY5MGI4YjY0ZTAifQ=="/>
  </w:docVars>
  <w:rsids>
    <w:rsidRoot w:val="007556A2"/>
    <w:rsid w:val="00011F3F"/>
    <w:rsid w:val="00054745"/>
    <w:rsid w:val="00173FA8"/>
    <w:rsid w:val="0023757C"/>
    <w:rsid w:val="002A01EA"/>
    <w:rsid w:val="0035480C"/>
    <w:rsid w:val="00441DDE"/>
    <w:rsid w:val="00567B1C"/>
    <w:rsid w:val="006B301E"/>
    <w:rsid w:val="007556A2"/>
    <w:rsid w:val="00767F58"/>
    <w:rsid w:val="00BB4E0B"/>
    <w:rsid w:val="00BF4D9C"/>
    <w:rsid w:val="00C00A0B"/>
    <w:rsid w:val="00E16BC8"/>
    <w:rsid w:val="00ED3513"/>
    <w:rsid w:val="04664A43"/>
    <w:rsid w:val="046C1637"/>
    <w:rsid w:val="04FD10E9"/>
    <w:rsid w:val="0873206B"/>
    <w:rsid w:val="09405F3B"/>
    <w:rsid w:val="0C0444C5"/>
    <w:rsid w:val="0EB6172B"/>
    <w:rsid w:val="11632393"/>
    <w:rsid w:val="17371525"/>
    <w:rsid w:val="1860228C"/>
    <w:rsid w:val="1CA11007"/>
    <w:rsid w:val="1D60233E"/>
    <w:rsid w:val="1F061775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A897858"/>
    <w:rsid w:val="31C936BD"/>
    <w:rsid w:val="31D80455"/>
    <w:rsid w:val="33691AE5"/>
    <w:rsid w:val="35990E80"/>
    <w:rsid w:val="365B56BB"/>
    <w:rsid w:val="397A2194"/>
    <w:rsid w:val="3A8E189D"/>
    <w:rsid w:val="3AE82C1B"/>
    <w:rsid w:val="3C877459"/>
    <w:rsid w:val="3D271561"/>
    <w:rsid w:val="41EA5032"/>
    <w:rsid w:val="43BD29AF"/>
    <w:rsid w:val="43F87D8B"/>
    <w:rsid w:val="44647CC4"/>
    <w:rsid w:val="4AE23F72"/>
    <w:rsid w:val="4D570F71"/>
    <w:rsid w:val="4D946D5E"/>
    <w:rsid w:val="4DB30006"/>
    <w:rsid w:val="51BC26B3"/>
    <w:rsid w:val="5483009F"/>
    <w:rsid w:val="54967355"/>
    <w:rsid w:val="55C455B4"/>
    <w:rsid w:val="60070D21"/>
    <w:rsid w:val="6221696E"/>
    <w:rsid w:val="65146E65"/>
    <w:rsid w:val="669924E4"/>
    <w:rsid w:val="66D457C1"/>
    <w:rsid w:val="67DA08F2"/>
    <w:rsid w:val="68251656"/>
    <w:rsid w:val="69FD72F2"/>
    <w:rsid w:val="6B865AF4"/>
    <w:rsid w:val="6C734478"/>
    <w:rsid w:val="6D6E1218"/>
    <w:rsid w:val="6EEA5B71"/>
    <w:rsid w:val="6F4F392C"/>
    <w:rsid w:val="6FE91AB2"/>
    <w:rsid w:val="74B25C81"/>
    <w:rsid w:val="7605782D"/>
    <w:rsid w:val="76145DCF"/>
    <w:rsid w:val="7D3D7A8C"/>
    <w:rsid w:val="7E530E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23</Pages>
  <Words>1315</Words>
  <Characters>1554</Characters>
  <TotalTime>5</TotalTime>
  <ScaleCrop>false</ScaleCrop>
  <LinksUpToDate>false</LinksUpToDate>
  <CharactersWithSpaces>1571</CharactersWithSpaces>
  <Application>WPS Office_12.1.0.21541_F1E327BC-269C-435d-A152-05C5408002CA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2025-06-23T15:38:00Z</dcterms:created>
  <dc:creator>admin</dc:creator>
  <cp:lastModifiedBy>admin</cp:lastModifiedBy>
  <dcterms:modified xsi:type="dcterms:W3CDTF">2025-06-27T05:16:26Z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eyJoZGlkIjoiNTZkNWFjY2E4OThmOTI1NDFjMTk3ZjdmMzhhY2MzZTQifQ==</vt:lpwstr>
  </property>
  <property fmtid="{D5CDD505-2E9C-101B-9397-08002B2CF9AE}" pid="3" name="KSOProductBuildVer">
    <vt:lpwstr>2052-12.1.0.21541</vt:lpwstr>
  </property>
  <property fmtid="{D5CDD505-2E9C-101B-9397-08002B2CF9AE}" pid="4" name="ICV">
    <vt:lpwstr>EB86305949764B71BA2BD4D150101CCA_12</vt:lpwstr>
  </property>
</Properties>
</file>